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054" w:rsidRPr="00545054" w:rsidRDefault="00545054" w:rsidP="00692408"/>
    <w:tbl>
      <w:tblPr>
        <w:tblW w:w="9835" w:type="dxa"/>
        <w:tblInd w:w="-7" w:type="dxa"/>
        <w:tblLayout w:type="fixed"/>
        <w:tblLook w:val="0000" w:firstRow="0" w:lastRow="0" w:firstColumn="0" w:lastColumn="0" w:noHBand="0" w:noVBand="0"/>
      </w:tblPr>
      <w:tblGrid>
        <w:gridCol w:w="7"/>
        <w:gridCol w:w="1818"/>
        <w:gridCol w:w="67"/>
        <w:gridCol w:w="7830"/>
        <w:gridCol w:w="106"/>
        <w:gridCol w:w="7"/>
      </w:tblGrid>
      <w:tr w:rsidR="00692408" w:rsidTr="008C7F67">
        <w:trPr>
          <w:gridBefore w:val="1"/>
          <w:wBefore w:w="7" w:type="dxa"/>
          <w:cantSplit/>
        </w:trPr>
        <w:tc>
          <w:tcPr>
            <w:tcW w:w="9828" w:type="dxa"/>
            <w:gridSpan w:val="5"/>
            <w:tcBorders>
              <w:top w:val="single" w:sz="4" w:space="0" w:color="auto"/>
              <w:left w:val="single" w:sz="4" w:space="0" w:color="auto"/>
              <w:bottom w:val="single" w:sz="4" w:space="0" w:color="auto"/>
              <w:right w:val="single" w:sz="4" w:space="0" w:color="auto"/>
            </w:tcBorders>
          </w:tcPr>
          <w:p w:rsidR="00692408" w:rsidRDefault="00692408" w:rsidP="008C7F67">
            <w:pPr>
              <w:pStyle w:val="level1"/>
              <w:pBdr>
                <w:top w:val="none" w:sz="0" w:space="0" w:color="auto"/>
                <w:between w:val="none" w:sz="0" w:space="0" w:color="auto"/>
              </w:pBdr>
              <w:ind w:left="0"/>
            </w:pPr>
            <w:r>
              <w:t>Travel Guidelines</w:t>
            </w:r>
            <w:r w:rsidR="00FA6023">
              <w:t xml:space="preserve"> &amp; Procedures</w:t>
            </w:r>
          </w:p>
        </w:tc>
      </w:tr>
      <w:tr w:rsidR="001C72A1" w:rsidTr="008C7F67">
        <w:trPr>
          <w:gridBefore w:val="1"/>
          <w:wBefore w:w="7" w:type="dxa"/>
          <w:cantSplit/>
        </w:trPr>
        <w:tc>
          <w:tcPr>
            <w:tcW w:w="1818" w:type="dxa"/>
            <w:tcBorders>
              <w:top w:val="single" w:sz="4" w:space="0" w:color="auto"/>
            </w:tcBorders>
          </w:tcPr>
          <w:p w:rsidR="00F56D6B" w:rsidRDefault="00F56D6B" w:rsidP="00EC0573">
            <w:pPr>
              <w:pStyle w:val="level2"/>
              <w:rPr>
                <w:sz w:val="24"/>
                <w:szCs w:val="24"/>
              </w:rPr>
            </w:pPr>
            <w:bookmarkStart w:id="0" w:name="_Toc461526105"/>
            <w:bookmarkStart w:id="1" w:name="_Toc461527418"/>
            <w:bookmarkStart w:id="2" w:name="_Toc461527897"/>
            <w:bookmarkStart w:id="3" w:name="_Toc461870032"/>
            <w:bookmarkStart w:id="4" w:name="_Toc480969195"/>
            <w:bookmarkStart w:id="5" w:name="_Toc480969463"/>
            <w:bookmarkStart w:id="6" w:name="_Toc480969547"/>
            <w:bookmarkStart w:id="7" w:name="_Toc480969631"/>
            <w:bookmarkStart w:id="8" w:name="_Toc480969811"/>
            <w:bookmarkStart w:id="9" w:name="_Toc481206775"/>
            <w:bookmarkStart w:id="10" w:name="_Toc482757866"/>
            <w:bookmarkStart w:id="11" w:name="_Toc482758114"/>
            <w:bookmarkStart w:id="12" w:name="_Toc483016444"/>
            <w:bookmarkStart w:id="13" w:name="_Toc483795417"/>
            <w:bookmarkStart w:id="14" w:name="_Toc483798351"/>
            <w:bookmarkStart w:id="15" w:name="_Toc15887651"/>
            <w:bookmarkStart w:id="16" w:name="_Toc15888933"/>
            <w:bookmarkStart w:id="17" w:name="_Toc15889086"/>
            <w:bookmarkStart w:id="18" w:name="_Toc15889168"/>
            <w:bookmarkStart w:id="19" w:name="_Toc15889648"/>
            <w:bookmarkStart w:id="20" w:name="_Toc15889941"/>
            <w:bookmarkStart w:id="21" w:name="_Toc15958951"/>
            <w:bookmarkStart w:id="22" w:name="_Toc19433815"/>
            <w:bookmarkStart w:id="23" w:name="_Toc20124400"/>
            <w:bookmarkStart w:id="24" w:name="_Toc85964229"/>
            <w:bookmarkStart w:id="25" w:name="_Toc85964396"/>
            <w:bookmarkStart w:id="26" w:name="_Toc202077890"/>
            <w:bookmarkStart w:id="27" w:name="_Toc215908231"/>
          </w:p>
          <w:p w:rsidR="008C7F67" w:rsidRPr="00FA6023" w:rsidRDefault="00FA6023" w:rsidP="00EC0573">
            <w:pPr>
              <w:pStyle w:val="level2"/>
              <w:rPr>
                <w:sz w:val="24"/>
                <w:szCs w:val="24"/>
              </w:rPr>
            </w:pPr>
            <w:r>
              <w:rPr>
                <w:sz w:val="24"/>
                <w:szCs w:val="24"/>
              </w:rPr>
              <w:t>Introductory</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1C72A1" w:rsidRDefault="00FA6023" w:rsidP="00EC0573">
            <w:pPr>
              <w:pStyle w:val="level2"/>
              <w:rPr>
                <w:sz w:val="24"/>
                <w:szCs w:val="24"/>
              </w:rPr>
            </w:pPr>
            <w:r>
              <w:rPr>
                <w:sz w:val="24"/>
                <w:szCs w:val="24"/>
              </w:rPr>
              <w:t>Statement</w:t>
            </w:r>
          </w:p>
          <w:p w:rsidR="00FA6023" w:rsidRDefault="00FA6023" w:rsidP="00EC0573">
            <w:pPr>
              <w:pStyle w:val="level2"/>
              <w:rPr>
                <w:sz w:val="24"/>
                <w:szCs w:val="24"/>
              </w:rPr>
            </w:pPr>
          </w:p>
          <w:p w:rsidR="00FA6023" w:rsidRDefault="00FA6023" w:rsidP="00EC0573">
            <w:pPr>
              <w:pStyle w:val="level2"/>
              <w:rPr>
                <w:sz w:val="24"/>
                <w:szCs w:val="24"/>
              </w:rPr>
            </w:pPr>
          </w:p>
          <w:p w:rsidR="00FA6023" w:rsidRDefault="00FA6023" w:rsidP="00EC0573">
            <w:pPr>
              <w:pStyle w:val="level2"/>
              <w:rPr>
                <w:sz w:val="24"/>
                <w:szCs w:val="24"/>
              </w:rPr>
            </w:pPr>
          </w:p>
          <w:p w:rsidR="00843290" w:rsidRDefault="00843290" w:rsidP="00EC0573">
            <w:pPr>
              <w:pStyle w:val="level2"/>
              <w:rPr>
                <w:sz w:val="24"/>
                <w:szCs w:val="24"/>
              </w:rPr>
            </w:pPr>
          </w:p>
          <w:p w:rsidR="00FA6023" w:rsidRPr="00FA6023" w:rsidRDefault="00FA6023" w:rsidP="00EC0573">
            <w:pPr>
              <w:pStyle w:val="level2"/>
              <w:rPr>
                <w:sz w:val="24"/>
                <w:szCs w:val="24"/>
              </w:rPr>
            </w:pPr>
            <w:r>
              <w:rPr>
                <w:sz w:val="24"/>
                <w:szCs w:val="24"/>
              </w:rPr>
              <w:t>Applicability</w:t>
            </w:r>
          </w:p>
        </w:tc>
        <w:tc>
          <w:tcPr>
            <w:tcW w:w="8010" w:type="dxa"/>
            <w:gridSpan w:val="4"/>
            <w:tcBorders>
              <w:top w:val="single" w:sz="4" w:space="0" w:color="auto"/>
            </w:tcBorders>
          </w:tcPr>
          <w:p w:rsidR="00F56D6B" w:rsidRDefault="00F56D6B" w:rsidP="00843290">
            <w:pPr>
              <w:autoSpaceDE w:val="0"/>
              <w:autoSpaceDN w:val="0"/>
              <w:adjustRightInd w:val="0"/>
              <w:jc w:val="both"/>
            </w:pPr>
          </w:p>
          <w:p w:rsidR="008C7F67" w:rsidRDefault="00FA6023" w:rsidP="00843290">
            <w:pPr>
              <w:autoSpaceDE w:val="0"/>
              <w:autoSpaceDN w:val="0"/>
              <w:adjustRightInd w:val="0"/>
              <w:jc w:val="both"/>
            </w:pPr>
            <w:r>
              <w:t>No procedure manual can address every conceivable travel situation or question in an organization the size of VCU. The intent of this document is to provide you with a set of practical rules and guidelines deemed to be in the best interest of the university</w:t>
            </w:r>
            <w:r w:rsidR="00843290">
              <w:t>, its faculty, staff and students, while also ensuring compliance with the policies set forth by the Board of Visitors and the State of Virginia</w:t>
            </w:r>
            <w:r w:rsidR="000F1F95">
              <w:t>.</w:t>
            </w:r>
          </w:p>
          <w:p w:rsidR="00FA6023" w:rsidRDefault="00FA6023" w:rsidP="00843290">
            <w:pPr>
              <w:autoSpaceDE w:val="0"/>
              <w:autoSpaceDN w:val="0"/>
              <w:adjustRightInd w:val="0"/>
              <w:jc w:val="both"/>
            </w:pPr>
          </w:p>
          <w:p w:rsidR="00C03B17" w:rsidRDefault="001C72A1" w:rsidP="00843290">
            <w:pPr>
              <w:autoSpaceDE w:val="0"/>
              <w:autoSpaceDN w:val="0"/>
              <w:adjustRightInd w:val="0"/>
              <w:jc w:val="both"/>
            </w:pPr>
            <w:r>
              <w:t xml:space="preserve">These </w:t>
            </w:r>
            <w:r w:rsidR="000C73B8">
              <w:t>guidelines</w:t>
            </w:r>
            <w:r>
              <w:t xml:space="preserve"> apply to</w:t>
            </w:r>
            <w:r w:rsidR="00C03B17">
              <w:t xml:space="preserve"> all </w:t>
            </w:r>
            <w:r w:rsidR="00A17CF9">
              <w:t xml:space="preserve">VCU </w:t>
            </w:r>
            <w:r w:rsidR="00C03B17">
              <w:t xml:space="preserve">employees, </w:t>
            </w:r>
            <w:r w:rsidR="00C03B17" w:rsidRPr="004C2445">
              <w:t>students, and non-employees</w:t>
            </w:r>
            <w:r w:rsidR="00C03B17">
              <w:t xml:space="preserve"> who have been authorized to travel on behalf of the University</w:t>
            </w:r>
            <w:r w:rsidR="00121AD4">
              <w:t>.</w:t>
            </w:r>
          </w:p>
          <w:p w:rsidR="00545054" w:rsidRDefault="00545054" w:rsidP="00843290">
            <w:pPr>
              <w:tabs>
                <w:tab w:val="left" w:pos="3645"/>
              </w:tabs>
              <w:autoSpaceDE w:val="0"/>
              <w:autoSpaceDN w:val="0"/>
              <w:adjustRightInd w:val="0"/>
              <w:jc w:val="both"/>
            </w:pPr>
          </w:p>
        </w:tc>
      </w:tr>
      <w:tr w:rsidR="00423648" w:rsidTr="008C7F67">
        <w:tblPrEx>
          <w:tblCellMar>
            <w:left w:w="115" w:type="dxa"/>
            <w:right w:w="115" w:type="dxa"/>
          </w:tblCellMar>
        </w:tblPrEx>
        <w:trPr>
          <w:gridAfter w:val="1"/>
          <w:wAfter w:w="7" w:type="dxa"/>
          <w:cantSplit/>
        </w:trPr>
        <w:tc>
          <w:tcPr>
            <w:tcW w:w="1825" w:type="dxa"/>
            <w:gridSpan w:val="2"/>
          </w:tcPr>
          <w:p w:rsidR="00423648" w:rsidRDefault="00423648" w:rsidP="00423648">
            <w:pPr>
              <w:pStyle w:val="level2"/>
            </w:pPr>
            <w:bookmarkStart w:id="28" w:name="_Toc15887652"/>
            <w:bookmarkStart w:id="29" w:name="_Toc15888934"/>
            <w:bookmarkStart w:id="30" w:name="_Toc15889087"/>
            <w:bookmarkStart w:id="31" w:name="_Toc15889169"/>
            <w:bookmarkStart w:id="32" w:name="_Toc15889649"/>
            <w:bookmarkStart w:id="33" w:name="_Toc15889942"/>
            <w:bookmarkStart w:id="34" w:name="_Toc15958952"/>
            <w:bookmarkStart w:id="35" w:name="_Toc19433816"/>
            <w:bookmarkStart w:id="36" w:name="_Toc20124401"/>
            <w:bookmarkStart w:id="37" w:name="_Toc85964230"/>
            <w:bookmarkStart w:id="38" w:name="_Toc85964397"/>
            <w:bookmarkStart w:id="39" w:name="_Toc202077891"/>
            <w:bookmarkStart w:id="40" w:name="_Toc215908232"/>
            <w:r w:rsidRPr="00EC0573">
              <w:t>Reasonable and Necessary</w:t>
            </w:r>
            <w:bookmarkEnd w:id="28"/>
            <w:bookmarkEnd w:id="29"/>
            <w:bookmarkEnd w:id="30"/>
            <w:bookmarkEnd w:id="31"/>
            <w:bookmarkEnd w:id="32"/>
            <w:bookmarkEnd w:id="33"/>
            <w:bookmarkEnd w:id="34"/>
            <w:bookmarkEnd w:id="35"/>
            <w:bookmarkEnd w:id="36"/>
            <w:bookmarkEnd w:id="37"/>
            <w:bookmarkEnd w:id="38"/>
            <w:bookmarkEnd w:id="39"/>
            <w:bookmarkEnd w:id="40"/>
          </w:p>
          <w:p w:rsidR="00423648" w:rsidRPr="00EC0573" w:rsidRDefault="00423648" w:rsidP="00EC0573">
            <w:pPr>
              <w:pStyle w:val="level2"/>
            </w:pPr>
          </w:p>
        </w:tc>
        <w:tc>
          <w:tcPr>
            <w:tcW w:w="8003" w:type="dxa"/>
            <w:gridSpan w:val="3"/>
          </w:tcPr>
          <w:p w:rsidR="00423648" w:rsidRDefault="00423648" w:rsidP="00843290">
            <w:pPr>
              <w:pStyle w:val="BlockText"/>
              <w:jc w:val="both"/>
            </w:pPr>
            <w:r>
              <w:t xml:space="preserve">VCU will reimburse individuals traveling on official University business for reasonable and necessary expenses incurred.  Travel expense accounts are open to the public and must be able to sustain the test of public review.  When planning and paying for travel, economy, prudence and necessity are of primary concern.  The use of State </w:t>
            </w:r>
            <w:hyperlink r:id="rId8" w:history="1">
              <w:r w:rsidR="008B55EB" w:rsidRPr="008B55EB">
                <w:rPr>
                  <w:rStyle w:val="Hyperlink"/>
                </w:rPr>
                <w:t>funds</w:t>
              </w:r>
            </w:hyperlink>
            <w:r w:rsidR="008B55EB">
              <w:t xml:space="preserve"> </w:t>
            </w:r>
            <w:r>
              <w:t xml:space="preserve">to accommodate personal comfort, convenience, and taste is </w:t>
            </w:r>
            <w:r w:rsidRPr="008D3046">
              <w:rPr>
                <w:u w:val="single"/>
              </w:rPr>
              <w:t>not</w:t>
            </w:r>
            <w:r>
              <w:t xml:space="preserve"> permitted. VCU assumes no obligation to reimburse for expenses that are not in compliance with </w:t>
            </w:r>
            <w:hyperlink r:id="rId9" w:history="1">
              <w:r w:rsidR="007C0BEA" w:rsidRPr="007C0BEA">
                <w:rPr>
                  <w:rStyle w:val="Hyperlink"/>
                </w:rPr>
                <w:t>VCU's Travel Policy</w:t>
              </w:r>
            </w:hyperlink>
            <w:r w:rsidR="007C0BEA">
              <w:t>.</w:t>
            </w:r>
            <w:r>
              <w:t xml:space="preserve"> </w:t>
            </w:r>
            <w:r w:rsidRPr="00C50D17">
              <w:t>Travel expenses for individuals not on official business for the University are not allowed. </w:t>
            </w:r>
          </w:p>
          <w:p w:rsidR="00423648" w:rsidRDefault="00423648" w:rsidP="00843290">
            <w:pPr>
              <w:pStyle w:val="BlockText"/>
              <w:jc w:val="both"/>
            </w:pPr>
          </w:p>
        </w:tc>
      </w:tr>
      <w:tr w:rsidR="001C72A1" w:rsidTr="008C7F67">
        <w:tblPrEx>
          <w:tblCellMar>
            <w:left w:w="115" w:type="dxa"/>
            <w:right w:w="115" w:type="dxa"/>
          </w:tblCellMar>
        </w:tblPrEx>
        <w:trPr>
          <w:gridAfter w:val="1"/>
          <w:wAfter w:w="7" w:type="dxa"/>
          <w:cantSplit/>
        </w:trPr>
        <w:tc>
          <w:tcPr>
            <w:tcW w:w="1825" w:type="dxa"/>
            <w:gridSpan w:val="2"/>
          </w:tcPr>
          <w:p w:rsidR="00430E21" w:rsidRPr="00EC0573" w:rsidRDefault="00423648" w:rsidP="00EC0573">
            <w:pPr>
              <w:pStyle w:val="level2"/>
            </w:pPr>
            <w:r>
              <w:t>M</w:t>
            </w:r>
            <w:r w:rsidR="00430E21">
              <w:t>ore Restrictive Guidelines</w:t>
            </w:r>
          </w:p>
        </w:tc>
        <w:tc>
          <w:tcPr>
            <w:tcW w:w="8003" w:type="dxa"/>
            <w:gridSpan w:val="3"/>
          </w:tcPr>
          <w:p w:rsidR="001C72A1" w:rsidRPr="006A4E72" w:rsidRDefault="001C72A1" w:rsidP="00843290">
            <w:pPr>
              <w:autoSpaceDE w:val="0"/>
              <w:autoSpaceDN w:val="0"/>
              <w:adjustRightInd w:val="0"/>
              <w:jc w:val="both"/>
            </w:pPr>
            <w:r w:rsidRPr="00017880">
              <w:t xml:space="preserve">Schools, centers or departments may </w:t>
            </w:r>
            <w:r w:rsidR="005A08E0" w:rsidRPr="00017880">
              <w:t xml:space="preserve">develop additional guidelines with more </w:t>
            </w:r>
            <w:r w:rsidR="00121AD4" w:rsidRPr="00017880">
              <w:t>control than required</w:t>
            </w:r>
            <w:r w:rsidR="005A08E0" w:rsidRPr="00017880">
              <w:t xml:space="preserve"> by VCU’s guidelines</w:t>
            </w:r>
            <w:r w:rsidR="00121AD4" w:rsidRPr="00017880">
              <w:t xml:space="preserve">, </w:t>
            </w:r>
            <w:r w:rsidRPr="00017880">
              <w:t>but never less.</w:t>
            </w:r>
            <w:r w:rsidR="00430E21" w:rsidRPr="00017880">
              <w:t xml:space="preserve"> These guidelines must not be arbitrary or capricious and must be fully documented</w:t>
            </w:r>
            <w:r w:rsidR="00A51A27" w:rsidRPr="00017880">
              <w:t>, and equally applied</w:t>
            </w:r>
            <w:r w:rsidR="00430E21" w:rsidRPr="00017880">
              <w:t xml:space="preserve">. Careful consideration should be taken to minimize the loss of efficiency and additional administrative </w:t>
            </w:r>
            <w:r w:rsidR="00FC2534" w:rsidRPr="00017880">
              <w:t>time required.</w:t>
            </w:r>
            <w:r w:rsidR="005342CC" w:rsidRPr="00017880">
              <w:t xml:space="preserve"> Travel Services should be consulted when developing guidelines.</w:t>
            </w:r>
          </w:p>
          <w:p w:rsidR="001C72A1" w:rsidRDefault="001C72A1" w:rsidP="00843290">
            <w:pPr>
              <w:pStyle w:val="BlockText"/>
              <w:jc w:val="both"/>
            </w:pPr>
          </w:p>
        </w:tc>
      </w:tr>
      <w:tr w:rsidR="00F24059" w:rsidTr="008C7F67">
        <w:trPr>
          <w:gridBefore w:val="1"/>
          <w:wBefore w:w="7" w:type="dxa"/>
          <w:cantSplit/>
        </w:trPr>
        <w:tc>
          <w:tcPr>
            <w:tcW w:w="1818" w:type="dxa"/>
          </w:tcPr>
          <w:p w:rsidR="00F24059" w:rsidRPr="00EE5048" w:rsidRDefault="00F24059" w:rsidP="00121AD4">
            <w:pPr>
              <w:pStyle w:val="level2"/>
            </w:pPr>
            <w:bookmarkStart w:id="41" w:name="_Toc461526184"/>
            <w:bookmarkStart w:id="42" w:name="_Toc461527490"/>
            <w:bookmarkStart w:id="43" w:name="_Toc461527967"/>
            <w:bookmarkStart w:id="44" w:name="_Toc461870104"/>
            <w:bookmarkStart w:id="45" w:name="_Toc480969271"/>
            <w:bookmarkStart w:id="46" w:name="_Toc480969538"/>
            <w:bookmarkStart w:id="47" w:name="_Toc480969622"/>
            <w:bookmarkStart w:id="48" w:name="_Toc480969706"/>
            <w:bookmarkStart w:id="49" w:name="_Toc480969886"/>
            <w:bookmarkStart w:id="50" w:name="_Toc481206850"/>
            <w:bookmarkStart w:id="51" w:name="_Toc482757937"/>
            <w:bookmarkStart w:id="52" w:name="_Toc482758185"/>
            <w:bookmarkStart w:id="53" w:name="_Toc483016515"/>
            <w:bookmarkStart w:id="54" w:name="_Toc483795488"/>
            <w:bookmarkStart w:id="55" w:name="_Toc483798422"/>
            <w:bookmarkStart w:id="56" w:name="_Toc15887679"/>
            <w:bookmarkStart w:id="57" w:name="_Toc15888961"/>
            <w:bookmarkStart w:id="58" w:name="_Toc15889114"/>
            <w:bookmarkStart w:id="59" w:name="_Toc15889196"/>
            <w:bookmarkStart w:id="60" w:name="_Toc15889676"/>
            <w:bookmarkStart w:id="61" w:name="_Toc15889969"/>
            <w:bookmarkStart w:id="62" w:name="_Toc15958979"/>
            <w:bookmarkStart w:id="63" w:name="_Toc19433843"/>
            <w:bookmarkStart w:id="64" w:name="_Toc20124428"/>
            <w:bookmarkStart w:id="65" w:name="_Toc85964257"/>
            <w:bookmarkStart w:id="66" w:name="_Toc85964424"/>
            <w:bookmarkStart w:id="67" w:name="_Toc202077912"/>
            <w:bookmarkStart w:id="68" w:name="_Toc215908266"/>
            <w:bookmarkStart w:id="69" w:name="_Toc215908233"/>
            <w:r w:rsidRPr="00EE5048">
              <w:t>Sponsored Program Funds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EE5048">
              <w:t xml:space="preserve"> </w:t>
            </w:r>
            <w:bookmarkEnd w:id="56"/>
            <w:bookmarkEnd w:id="57"/>
            <w:bookmarkEnd w:id="58"/>
            <w:bookmarkEnd w:id="59"/>
            <w:bookmarkEnd w:id="60"/>
            <w:bookmarkEnd w:id="61"/>
            <w:bookmarkEnd w:id="62"/>
            <w:bookmarkEnd w:id="63"/>
            <w:bookmarkEnd w:id="64"/>
            <w:bookmarkEnd w:id="65"/>
            <w:bookmarkEnd w:id="66"/>
            <w:bookmarkEnd w:id="67"/>
            <w:bookmarkEnd w:id="68"/>
          </w:p>
        </w:tc>
        <w:tc>
          <w:tcPr>
            <w:tcW w:w="8010" w:type="dxa"/>
            <w:gridSpan w:val="4"/>
          </w:tcPr>
          <w:p w:rsidR="00F24059" w:rsidRPr="002E0212" w:rsidRDefault="00F24059" w:rsidP="00843290">
            <w:pPr>
              <w:pStyle w:val="BlockText"/>
              <w:numPr>
                <w:ilvl w:val="12"/>
                <w:numId w:val="0"/>
              </w:numPr>
              <w:jc w:val="both"/>
              <w:rPr>
                <w:color w:val="000000"/>
              </w:rPr>
            </w:pPr>
            <w:r w:rsidRPr="002E0212">
              <w:rPr>
                <w:color w:val="000000"/>
              </w:rPr>
              <w:t xml:space="preserve">All </w:t>
            </w:r>
            <w:r w:rsidR="00FC2534">
              <w:rPr>
                <w:color w:val="000000"/>
              </w:rPr>
              <w:t>payments</w:t>
            </w:r>
            <w:r w:rsidRPr="002E0212">
              <w:rPr>
                <w:color w:val="000000"/>
              </w:rPr>
              <w:t xml:space="preserve"> for meals, lodging, airfare, etc. funded solely from sponsored program funds are governed by the terms and conditions of the individual grant or contract. If the grant or contract is silent regarding these monetary reimbursements, the limitations</w:t>
            </w:r>
            <w:r w:rsidR="007214C9">
              <w:rPr>
                <w:color w:val="000000"/>
              </w:rPr>
              <w:t xml:space="preserve"> set by</w:t>
            </w:r>
            <w:r w:rsidRPr="002E0212">
              <w:rPr>
                <w:color w:val="000000"/>
              </w:rPr>
              <w:t xml:space="preserve"> </w:t>
            </w:r>
            <w:r w:rsidR="00121AD4">
              <w:rPr>
                <w:color w:val="000000"/>
              </w:rPr>
              <w:t>VCU’s guidelines</w:t>
            </w:r>
            <w:r w:rsidRPr="002E0212">
              <w:rPr>
                <w:color w:val="000000"/>
              </w:rPr>
              <w:t xml:space="preserve"> will apply.  </w:t>
            </w:r>
          </w:p>
          <w:p w:rsidR="00F24059" w:rsidRDefault="00F24059" w:rsidP="00E7687E">
            <w:pPr>
              <w:pStyle w:val="BlockText"/>
            </w:pPr>
          </w:p>
        </w:tc>
      </w:tr>
      <w:bookmarkEnd w:id="69"/>
      <w:tr w:rsidR="00692408" w:rsidTr="008C7F67">
        <w:trPr>
          <w:gridBefore w:val="1"/>
          <w:gridAfter w:val="2"/>
          <w:wBefore w:w="7" w:type="dxa"/>
          <w:wAfter w:w="113" w:type="dxa"/>
        </w:trPr>
        <w:tc>
          <w:tcPr>
            <w:tcW w:w="9715" w:type="dxa"/>
            <w:gridSpan w:val="3"/>
            <w:tcBorders>
              <w:top w:val="single" w:sz="4" w:space="0" w:color="auto"/>
              <w:left w:val="single" w:sz="4" w:space="0" w:color="auto"/>
              <w:bottom w:val="single" w:sz="4" w:space="0" w:color="auto"/>
              <w:right w:val="single" w:sz="4" w:space="0" w:color="auto"/>
            </w:tcBorders>
          </w:tcPr>
          <w:p w:rsidR="00692408" w:rsidRDefault="00692408" w:rsidP="00692408">
            <w:pPr>
              <w:pStyle w:val="level1"/>
              <w:pBdr>
                <w:top w:val="none" w:sz="0" w:space="0" w:color="auto"/>
                <w:between w:val="none" w:sz="0" w:space="0" w:color="auto"/>
              </w:pBdr>
              <w:ind w:left="0"/>
            </w:pPr>
            <w:r w:rsidRPr="00137C62">
              <w:t>Responsibilities</w:t>
            </w:r>
          </w:p>
        </w:tc>
      </w:tr>
      <w:tr w:rsidR="001C72A1" w:rsidTr="008C7F67">
        <w:trPr>
          <w:gridBefore w:val="1"/>
          <w:gridAfter w:val="2"/>
          <w:wBefore w:w="7" w:type="dxa"/>
          <w:wAfter w:w="113" w:type="dxa"/>
        </w:trPr>
        <w:tc>
          <w:tcPr>
            <w:tcW w:w="1885" w:type="dxa"/>
            <w:gridSpan w:val="2"/>
            <w:tcBorders>
              <w:top w:val="single" w:sz="4" w:space="0" w:color="auto"/>
            </w:tcBorders>
          </w:tcPr>
          <w:p w:rsidR="008C7F67" w:rsidRDefault="008C7F67" w:rsidP="00EC0573">
            <w:pPr>
              <w:pStyle w:val="level2"/>
            </w:pPr>
            <w:bookmarkStart w:id="70" w:name="_Toc215908235"/>
          </w:p>
          <w:p w:rsidR="001C72A1" w:rsidRPr="00EC0573" w:rsidRDefault="001C72A1" w:rsidP="00EC0573">
            <w:pPr>
              <w:pStyle w:val="level2"/>
            </w:pPr>
            <w:r w:rsidRPr="00EC0573">
              <w:t>Traveler</w:t>
            </w:r>
            <w:bookmarkEnd w:id="70"/>
          </w:p>
        </w:tc>
        <w:tc>
          <w:tcPr>
            <w:tcW w:w="7830" w:type="dxa"/>
            <w:tcBorders>
              <w:top w:val="single" w:sz="4" w:space="0" w:color="auto"/>
            </w:tcBorders>
          </w:tcPr>
          <w:p w:rsidR="008C7F67" w:rsidRDefault="008C7F67" w:rsidP="00807108">
            <w:pPr>
              <w:autoSpaceDE w:val="0"/>
              <w:autoSpaceDN w:val="0"/>
              <w:adjustRightInd w:val="0"/>
              <w:ind w:left="-20" w:firstLine="20"/>
              <w:jc w:val="both"/>
            </w:pPr>
          </w:p>
          <w:p w:rsidR="001C72A1" w:rsidRDefault="001C72A1" w:rsidP="00C1138A">
            <w:pPr>
              <w:autoSpaceDE w:val="0"/>
              <w:autoSpaceDN w:val="0"/>
              <w:adjustRightInd w:val="0"/>
              <w:ind w:left="-20" w:firstLine="20"/>
              <w:jc w:val="both"/>
            </w:pPr>
            <w:r>
              <w:t xml:space="preserve">Individuals traveling on behalf of the University </w:t>
            </w:r>
            <w:r w:rsidR="00FF2FE7">
              <w:t xml:space="preserve">must </w:t>
            </w:r>
            <w:r>
              <w:t>exercise good judgment with respect to incurring travel expenses and are expected to spend the University's funds prudently. Travel related expenses will be paid by the</w:t>
            </w:r>
            <w:r>
              <w:rPr>
                <w:sz w:val="20"/>
              </w:rPr>
              <w:t xml:space="preserve"> </w:t>
            </w:r>
            <w:r>
              <w:t>University if they are deemed to be reasonable, appropriately documented, properly authorized and within the guidelines.</w:t>
            </w:r>
            <w:r w:rsidR="00D52821">
              <w:t xml:space="preserve"> </w:t>
            </w:r>
            <w:r w:rsidR="00C1138A">
              <w:t>The traveler is responsible for</w:t>
            </w:r>
            <w:r w:rsidR="00E90FE8">
              <w:t xml:space="preserve"> understanding VCU’s travel policy and procedures, </w:t>
            </w:r>
            <w:r w:rsidR="00E9637A">
              <w:t>seeking pre-authorizatio</w:t>
            </w:r>
            <w:r w:rsidR="00E90FE8">
              <w:t xml:space="preserve">n and </w:t>
            </w:r>
            <w:r w:rsidR="00C1138A">
              <w:t>submitting</w:t>
            </w:r>
            <w:r w:rsidR="00E90FE8">
              <w:t xml:space="preserve"> the</w:t>
            </w:r>
            <w:r w:rsidR="00C1138A">
              <w:t xml:space="preserve"> expense reports timely. T</w:t>
            </w:r>
            <w:r w:rsidR="00505C43">
              <w:t>he traveler will certify through the expense system that all expenses are true and</w:t>
            </w:r>
            <w:r w:rsidR="00C1138A">
              <w:t xml:space="preserve"> an accurate </w:t>
            </w:r>
            <w:r w:rsidR="00505C43">
              <w:t>accounting of expenses incurred and there are no expenses claimed as reimbursable which relate to person</w:t>
            </w:r>
            <w:r w:rsidR="00C1138A">
              <w:t>al</w:t>
            </w:r>
            <w:r w:rsidR="00505C43">
              <w:t xml:space="preserve"> and/or unallowable expenses. </w:t>
            </w:r>
          </w:p>
          <w:p w:rsidR="00C1138A" w:rsidRDefault="00C1138A" w:rsidP="00C1138A">
            <w:pPr>
              <w:autoSpaceDE w:val="0"/>
              <w:autoSpaceDN w:val="0"/>
              <w:adjustRightInd w:val="0"/>
              <w:ind w:left="-20" w:firstLine="20"/>
              <w:jc w:val="both"/>
            </w:pPr>
          </w:p>
        </w:tc>
      </w:tr>
      <w:tr w:rsidR="001B557F" w:rsidTr="008C7F67">
        <w:trPr>
          <w:gridBefore w:val="1"/>
          <w:gridAfter w:val="2"/>
          <w:wBefore w:w="7" w:type="dxa"/>
          <w:wAfter w:w="113" w:type="dxa"/>
          <w:trHeight w:val="1242"/>
        </w:trPr>
        <w:tc>
          <w:tcPr>
            <w:tcW w:w="1885" w:type="dxa"/>
            <w:gridSpan w:val="2"/>
          </w:tcPr>
          <w:p w:rsidR="001B557F" w:rsidRPr="00EC0573" w:rsidRDefault="001B557F" w:rsidP="003D651F">
            <w:pPr>
              <w:pStyle w:val="level2"/>
            </w:pPr>
            <w:bookmarkStart w:id="71" w:name="_Toc215908234"/>
            <w:r w:rsidRPr="00EC0573">
              <w:lastRenderedPageBreak/>
              <w:t>Schools and Centers</w:t>
            </w:r>
            <w:bookmarkEnd w:id="71"/>
          </w:p>
        </w:tc>
        <w:tc>
          <w:tcPr>
            <w:tcW w:w="7830" w:type="dxa"/>
          </w:tcPr>
          <w:p w:rsidR="001B557F" w:rsidRDefault="00665E45" w:rsidP="00807108">
            <w:pPr>
              <w:autoSpaceDE w:val="0"/>
              <w:autoSpaceDN w:val="0"/>
              <w:adjustRightInd w:val="0"/>
              <w:ind w:left="-20" w:firstLine="20"/>
              <w:jc w:val="both"/>
            </w:pPr>
            <w:r>
              <w:t>Each school must</w:t>
            </w:r>
            <w:r w:rsidR="001B557F">
              <w:t xml:space="preserve"> ensure that anyone traveling on behalf of the University is aware of and will abide by the University's</w:t>
            </w:r>
            <w:r w:rsidR="00C73BCB">
              <w:t xml:space="preserve"> travel</w:t>
            </w:r>
            <w:r w:rsidR="001B557F">
              <w:t xml:space="preserve"> </w:t>
            </w:r>
            <w:r w:rsidR="00E90FE8">
              <w:t>policy</w:t>
            </w:r>
            <w:r>
              <w:t xml:space="preserve"> </w:t>
            </w:r>
            <w:r w:rsidR="00E90FE8">
              <w:t xml:space="preserve">and procedures </w:t>
            </w:r>
            <w:r>
              <w:t xml:space="preserve">and </w:t>
            </w:r>
            <w:r w:rsidR="00E90FE8">
              <w:t xml:space="preserve">will </w:t>
            </w:r>
            <w:r w:rsidR="001B557F">
              <w:t xml:space="preserve">assign a hierarchy of responsibility to the preparation and approval of travel </w:t>
            </w:r>
            <w:r>
              <w:t>pre-approval</w:t>
            </w:r>
            <w:r w:rsidR="00E90FE8">
              <w:t>s</w:t>
            </w:r>
            <w:r>
              <w:t xml:space="preserve"> and reimbursement</w:t>
            </w:r>
            <w:r w:rsidR="00E90FE8">
              <w:t>s</w:t>
            </w:r>
            <w:r w:rsidR="001B557F">
              <w:t xml:space="preserve"> based on VCU policies and guidelines.</w:t>
            </w:r>
          </w:p>
        </w:tc>
      </w:tr>
      <w:tr w:rsidR="001B557F" w:rsidTr="008C7F67">
        <w:trPr>
          <w:gridBefore w:val="1"/>
          <w:gridAfter w:val="2"/>
          <w:wBefore w:w="7" w:type="dxa"/>
          <w:wAfter w:w="113" w:type="dxa"/>
          <w:trHeight w:val="1881"/>
        </w:trPr>
        <w:tc>
          <w:tcPr>
            <w:tcW w:w="1885" w:type="dxa"/>
            <w:gridSpan w:val="2"/>
          </w:tcPr>
          <w:p w:rsidR="001B557F" w:rsidRPr="00423648" w:rsidRDefault="000C5692" w:rsidP="007C18B4">
            <w:pPr>
              <w:pStyle w:val="level2"/>
            </w:pPr>
            <w:r>
              <w:t>Authorized</w:t>
            </w:r>
            <w:r w:rsidR="001B557F">
              <w:t xml:space="preserve"> </w:t>
            </w:r>
            <w:r w:rsidR="001B557F" w:rsidRPr="00EC0573">
              <w:t>Approver</w:t>
            </w:r>
          </w:p>
        </w:tc>
        <w:tc>
          <w:tcPr>
            <w:tcW w:w="7830" w:type="dxa"/>
          </w:tcPr>
          <w:p w:rsidR="001B557F" w:rsidRDefault="000C5692" w:rsidP="003D651F">
            <w:pPr>
              <w:autoSpaceDE w:val="0"/>
              <w:autoSpaceDN w:val="0"/>
              <w:adjustRightInd w:val="0"/>
            </w:pPr>
            <w:r>
              <w:t>M</w:t>
            </w:r>
            <w:r w:rsidR="001B557F">
              <w:t>ust verify that expenses and expense reports meet the following criteria:</w:t>
            </w:r>
          </w:p>
          <w:p w:rsidR="001B557F" w:rsidRDefault="001B557F" w:rsidP="003D651F">
            <w:pPr>
              <w:numPr>
                <w:ilvl w:val="0"/>
                <w:numId w:val="22"/>
              </w:numPr>
              <w:autoSpaceDE w:val="0"/>
              <w:autoSpaceDN w:val="0"/>
              <w:adjustRightInd w:val="0"/>
            </w:pPr>
            <w:r>
              <w:t xml:space="preserve"> the travel expense was incurred while conducting University business</w:t>
            </w:r>
          </w:p>
          <w:p w:rsidR="001B557F" w:rsidRDefault="001B557F" w:rsidP="003D651F">
            <w:pPr>
              <w:numPr>
                <w:ilvl w:val="0"/>
                <w:numId w:val="22"/>
              </w:numPr>
              <w:autoSpaceDE w:val="0"/>
              <w:autoSpaceDN w:val="0"/>
              <w:adjustRightInd w:val="0"/>
            </w:pPr>
            <w:r>
              <w:t xml:space="preserve"> the expenses were necessary and consistent with University policies</w:t>
            </w:r>
          </w:p>
          <w:p w:rsidR="001B557F" w:rsidRDefault="001B557F" w:rsidP="003D651F">
            <w:pPr>
              <w:numPr>
                <w:ilvl w:val="0"/>
                <w:numId w:val="22"/>
              </w:numPr>
              <w:autoSpaceDE w:val="0"/>
              <w:autoSpaceDN w:val="0"/>
              <w:adjustRightInd w:val="0"/>
            </w:pPr>
            <w:r>
              <w:t xml:space="preserve"> the information contained on the expense report and in the attached documentation is accurate</w:t>
            </w:r>
          </w:p>
          <w:p w:rsidR="001B557F" w:rsidRDefault="001B557F" w:rsidP="003D651F">
            <w:pPr>
              <w:numPr>
                <w:ilvl w:val="0"/>
                <w:numId w:val="22"/>
              </w:numPr>
              <w:autoSpaceDE w:val="0"/>
              <w:autoSpaceDN w:val="0"/>
              <w:adjustRightInd w:val="0"/>
            </w:pPr>
            <w:r>
              <w:t xml:space="preserve"> the expense meets any and all sponsor guidelines, if applicable</w:t>
            </w:r>
          </w:p>
        </w:tc>
      </w:tr>
      <w:tr w:rsidR="000C5692" w:rsidTr="008C7F67">
        <w:trPr>
          <w:gridBefore w:val="1"/>
          <w:gridAfter w:val="2"/>
          <w:wBefore w:w="7" w:type="dxa"/>
          <w:wAfter w:w="113" w:type="dxa"/>
          <w:trHeight w:val="1620"/>
        </w:trPr>
        <w:tc>
          <w:tcPr>
            <w:tcW w:w="1885" w:type="dxa"/>
            <w:gridSpan w:val="2"/>
          </w:tcPr>
          <w:p w:rsidR="000C5692" w:rsidRPr="00EC0573" w:rsidRDefault="000C5692" w:rsidP="003D651F">
            <w:pPr>
              <w:pStyle w:val="level2"/>
            </w:pPr>
            <w:bookmarkStart w:id="72" w:name="_Toc215908237"/>
            <w:r>
              <w:t xml:space="preserve">Fiscal </w:t>
            </w:r>
            <w:r w:rsidRPr="00EC0573">
              <w:t>Approver</w:t>
            </w:r>
          </w:p>
        </w:tc>
        <w:tc>
          <w:tcPr>
            <w:tcW w:w="7830" w:type="dxa"/>
          </w:tcPr>
          <w:p w:rsidR="000C5692" w:rsidRDefault="000C5692" w:rsidP="003D651F">
            <w:pPr>
              <w:autoSpaceDE w:val="0"/>
              <w:autoSpaceDN w:val="0"/>
              <w:adjustRightInd w:val="0"/>
            </w:pPr>
            <w:r>
              <w:t>Must verify that expenses and expense reports meet the following criteria:</w:t>
            </w:r>
          </w:p>
          <w:p w:rsidR="000C5692" w:rsidRPr="000C5692" w:rsidRDefault="000C5692" w:rsidP="000C5692">
            <w:pPr>
              <w:numPr>
                <w:ilvl w:val="0"/>
                <w:numId w:val="22"/>
              </w:numPr>
              <w:autoSpaceDE w:val="0"/>
              <w:autoSpaceDN w:val="0"/>
              <w:adjustRightInd w:val="0"/>
            </w:pPr>
            <w:r w:rsidRPr="000C5692">
              <w:t>expenditures are charged to the appropriate index(s) and are properly categorized</w:t>
            </w:r>
          </w:p>
          <w:p w:rsidR="000C5692" w:rsidRPr="000C5692" w:rsidRDefault="000C5692" w:rsidP="000C5692">
            <w:pPr>
              <w:numPr>
                <w:ilvl w:val="0"/>
                <w:numId w:val="22"/>
              </w:numPr>
              <w:autoSpaceDE w:val="0"/>
              <w:autoSpaceDN w:val="0"/>
              <w:adjustRightInd w:val="0"/>
            </w:pPr>
            <w:r w:rsidRPr="000C5692">
              <w:t>receipts provided are valid and reconcile</w:t>
            </w:r>
            <w:r w:rsidR="00FF4BB5">
              <w:t>d</w:t>
            </w:r>
            <w:r w:rsidRPr="000C5692">
              <w:t xml:space="preserve"> with the claimed expenses</w:t>
            </w:r>
          </w:p>
          <w:p w:rsidR="000C5692" w:rsidRDefault="000C5692" w:rsidP="000C5692">
            <w:pPr>
              <w:numPr>
                <w:ilvl w:val="0"/>
                <w:numId w:val="22"/>
              </w:numPr>
              <w:autoSpaceDE w:val="0"/>
              <w:autoSpaceDN w:val="0"/>
              <w:adjustRightInd w:val="0"/>
            </w:pPr>
            <w:r w:rsidRPr="000C5692">
              <w:t>claimed expenses are in compliance with University guidelines and policies</w:t>
            </w:r>
            <w:r w:rsidRPr="000C5692">
              <w:rPr>
                <w:rFonts w:ascii="Arial" w:hAnsi="Arial" w:cs="Arial"/>
                <w:color w:val="2B2B2B"/>
                <w:sz w:val="21"/>
                <w:szCs w:val="21"/>
              </w:rPr>
              <w:t xml:space="preserve"> </w:t>
            </w:r>
          </w:p>
        </w:tc>
      </w:tr>
      <w:bookmarkEnd w:id="72"/>
    </w:tbl>
    <w:p w:rsidR="007F02E5" w:rsidRPr="007F02E5" w:rsidRDefault="007F02E5" w:rsidP="007F02E5"/>
    <w:tbl>
      <w:tblPr>
        <w:tblW w:w="10296" w:type="dxa"/>
        <w:tblLayout w:type="fixed"/>
        <w:tblLook w:val="0000" w:firstRow="0" w:lastRow="0" w:firstColumn="0" w:lastColumn="0" w:noHBand="0" w:noVBand="0"/>
      </w:tblPr>
      <w:tblGrid>
        <w:gridCol w:w="1640"/>
        <w:gridCol w:w="8656"/>
      </w:tblGrid>
      <w:tr w:rsidR="00692408" w:rsidTr="00692408">
        <w:trPr>
          <w:trHeight w:val="647"/>
        </w:trPr>
        <w:tc>
          <w:tcPr>
            <w:tcW w:w="10296" w:type="dxa"/>
            <w:gridSpan w:val="2"/>
            <w:tcBorders>
              <w:top w:val="single" w:sz="4" w:space="0" w:color="auto"/>
              <w:left w:val="single" w:sz="4" w:space="0" w:color="auto"/>
              <w:bottom w:val="single" w:sz="4" w:space="0" w:color="auto"/>
              <w:right w:val="single" w:sz="4" w:space="0" w:color="auto"/>
            </w:tcBorders>
          </w:tcPr>
          <w:p w:rsidR="00692408" w:rsidRPr="00692408" w:rsidRDefault="00692408" w:rsidP="00692408">
            <w:pPr>
              <w:pStyle w:val="level1"/>
              <w:pBdr>
                <w:top w:val="none" w:sz="0" w:space="0" w:color="auto"/>
                <w:between w:val="none" w:sz="0" w:space="0" w:color="auto"/>
              </w:pBdr>
              <w:ind w:left="0"/>
              <w:rPr>
                <w:b w:val="0"/>
              </w:rPr>
            </w:pPr>
            <w:r w:rsidRPr="00137C62">
              <w:t>Definitions</w:t>
            </w:r>
          </w:p>
        </w:tc>
      </w:tr>
      <w:tr w:rsidR="001C72A1" w:rsidTr="00692408">
        <w:trPr>
          <w:trHeight w:val="1296"/>
        </w:trPr>
        <w:tc>
          <w:tcPr>
            <w:tcW w:w="1640" w:type="dxa"/>
            <w:tcBorders>
              <w:top w:val="single" w:sz="4" w:space="0" w:color="auto"/>
            </w:tcBorders>
          </w:tcPr>
          <w:p w:rsidR="001C31BF" w:rsidRDefault="001C31BF" w:rsidP="00EC0573">
            <w:pPr>
              <w:pStyle w:val="level2"/>
            </w:pPr>
            <w:bookmarkStart w:id="73" w:name="_Toc215908238"/>
          </w:p>
          <w:p w:rsidR="001C72A1" w:rsidRDefault="001C72A1" w:rsidP="00EC0573">
            <w:pPr>
              <w:pStyle w:val="level2"/>
            </w:pPr>
            <w:r w:rsidRPr="00137C62">
              <w:t>Authorized Ap</w:t>
            </w:r>
            <w:r w:rsidR="006B7DB5" w:rsidRPr="00137C62">
              <w:t>p</w:t>
            </w:r>
            <w:r w:rsidRPr="00137C62">
              <w:t>rover</w:t>
            </w:r>
            <w:bookmarkEnd w:id="73"/>
          </w:p>
          <w:p w:rsidR="00C50D17" w:rsidRDefault="00C50D17" w:rsidP="00EC0573">
            <w:pPr>
              <w:pStyle w:val="level2"/>
            </w:pPr>
          </w:p>
          <w:p w:rsidR="00C50D17" w:rsidRDefault="00C50D17" w:rsidP="00EC0573">
            <w:pPr>
              <w:pStyle w:val="level2"/>
            </w:pPr>
          </w:p>
          <w:p w:rsidR="00C50D17" w:rsidRPr="00EC0573" w:rsidRDefault="00C50D17" w:rsidP="00423648">
            <w:pPr>
              <w:pStyle w:val="level2"/>
            </w:pPr>
          </w:p>
        </w:tc>
        <w:tc>
          <w:tcPr>
            <w:tcW w:w="8656" w:type="dxa"/>
            <w:tcBorders>
              <w:top w:val="single" w:sz="4" w:space="0" w:color="auto"/>
            </w:tcBorders>
          </w:tcPr>
          <w:p w:rsidR="001C31BF" w:rsidRDefault="001C31BF" w:rsidP="00423648"/>
          <w:p w:rsidR="00C36333" w:rsidRDefault="00C50D17" w:rsidP="00C30BA3">
            <w:pPr>
              <w:jc w:val="both"/>
            </w:pPr>
            <w:r>
              <w:t>S</w:t>
            </w:r>
            <w:r w:rsidR="001C72A1">
              <w:t xml:space="preserve">hould be the </w:t>
            </w:r>
            <w:r w:rsidR="00FF2FE7">
              <w:t xml:space="preserve">traveler's </w:t>
            </w:r>
            <w:r w:rsidR="001C72A1">
              <w:t>direct supervisor</w:t>
            </w:r>
            <w:r w:rsidR="001865A3">
              <w:t xml:space="preserve"> or manager</w:t>
            </w:r>
            <w:r w:rsidR="008B55EB">
              <w:t xml:space="preserve"> with authority to expend the source of funds being used to pay the travel expense</w:t>
            </w:r>
            <w:r w:rsidR="001865A3">
              <w:t>.</w:t>
            </w:r>
            <w:r>
              <w:t xml:space="preserve"> </w:t>
            </w:r>
            <w:r w:rsidR="008B55EB">
              <w:t>They c</w:t>
            </w:r>
            <w:r w:rsidRPr="00C50D17">
              <w:t>annot be the i</w:t>
            </w:r>
            <w:r>
              <w:t xml:space="preserve">ndividual seeking reimbursement, and </w:t>
            </w:r>
            <w:r w:rsidR="00FF2FE7">
              <w:t xml:space="preserve">must </w:t>
            </w:r>
            <w:r w:rsidR="00FF2FE7" w:rsidRPr="00FF2FE7">
              <w:t>always move up the chain of command from the expense owner to prevent the situation of a subordinate ap</w:t>
            </w:r>
            <w:r w:rsidR="00423648">
              <w:t>proving a supervisor’s expenses.</w:t>
            </w:r>
          </w:p>
        </w:tc>
      </w:tr>
      <w:tr w:rsidR="00035A37" w:rsidTr="00D73905">
        <w:tc>
          <w:tcPr>
            <w:tcW w:w="1640" w:type="dxa"/>
          </w:tcPr>
          <w:p w:rsidR="00423648" w:rsidRDefault="001865A3" w:rsidP="00423648">
            <w:pPr>
              <w:pStyle w:val="level2"/>
            </w:pPr>
            <w:r w:rsidRPr="00137C62">
              <w:t xml:space="preserve">Travel </w:t>
            </w:r>
            <w:r w:rsidR="00423648" w:rsidRPr="00137C62">
              <w:t>Fiscal Approver</w:t>
            </w:r>
          </w:p>
          <w:p w:rsidR="00035A37" w:rsidRPr="00EC0573" w:rsidRDefault="00035A37" w:rsidP="00EC0573">
            <w:pPr>
              <w:pStyle w:val="level2"/>
            </w:pPr>
          </w:p>
        </w:tc>
        <w:tc>
          <w:tcPr>
            <w:tcW w:w="8656" w:type="dxa"/>
          </w:tcPr>
          <w:p w:rsidR="00423648" w:rsidRDefault="00423648" w:rsidP="00423648">
            <w:pPr>
              <w:pStyle w:val="TableText"/>
            </w:pPr>
            <w:r>
              <w:t>Assigned by the department, documented with</w:t>
            </w:r>
            <w:r w:rsidR="00FF4BB5">
              <w:t>in</w:t>
            </w:r>
            <w:r>
              <w:t xml:space="preserve"> Banner Finance to have approval authority associated with the index(</w:t>
            </w:r>
            <w:r w:rsidR="00E658C3">
              <w:t>e</w:t>
            </w:r>
            <w:r>
              <w:t xml:space="preserve">s) used on the expense report.  </w:t>
            </w:r>
          </w:p>
          <w:p w:rsidR="00035A37" w:rsidRDefault="00035A37" w:rsidP="00C50D17"/>
        </w:tc>
      </w:tr>
      <w:tr w:rsidR="001C72A1" w:rsidTr="00D73905">
        <w:trPr>
          <w:cantSplit/>
        </w:trPr>
        <w:tc>
          <w:tcPr>
            <w:tcW w:w="1640" w:type="dxa"/>
          </w:tcPr>
          <w:p w:rsidR="001C72A1" w:rsidRPr="00EC0573" w:rsidRDefault="001C72A1" w:rsidP="00EC0573">
            <w:pPr>
              <w:pStyle w:val="level2"/>
            </w:pPr>
            <w:bookmarkStart w:id="74" w:name="_Toc461526113"/>
            <w:bookmarkStart w:id="75" w:name="_Toc461527423"/>
            <w:bookmarkStart w:id="76" w:name="_Toc461527902"/>
            <w:bookmarkStart w:id="77" w:name="_Toc461870039"/>
            <w:bookmarkStart w:id="78" w:name="_Toc480969203"/>
            <w:bookmarkStart w:id="79" w:name="_Toc480969470"/>
            <w:bookmarkStart w:id="80" w:name="_Toc480969554"/>
            <w:bookmarkStart w:id="81" w:name="_Toc480969638"/>
            <w:bookmarkStart w:id="82" w:name="_Toc480969818"/>
            <w:bookmarkStart w:id="83" w:name="_Toc481206782"/>
            <w:bookmarkStart w:id="84" w:name="_Toc482757873"/>
            <w:bookmarkStart w:id="85" w:name="_Toc482758121"/>
            <w:bookmarkStart w:id="86" w:name="_Toc483016451"/>
            <w:bookmarkStart w:id="87" w:name="_Toc483795424"/>
            <w:bookmarkStart w:id="88" w:name="_Toc483798358"/>
            <w:bookmarkStart w:id="89" w:name="_Toc15887656"/>
            <w:bookmarkStart w:id="90" w:name="_Toc15888938"/>
            <w:bookmarkStart w:id="91" w:name="_Toc15889091"/>
            <w:bookmarkStart w:id="92" w:name="_Toc15889173"/>
            <w:bookmarkStart w:id="93" w:name="_Toc15889653"/>
            <w:bookmarkStart w:id="94" w:name="_Toc15889946"/>
            <w:bookmarkStart w:id="95" w:name="_Toc15958956"/>
            <w:bookmarkStart w:id="96" w:name="_Toc19433820"/>
            <w:bookmarkStart w:id="97" w:name="_Toc20124405"/>
            <w:bookmarkStart w:id="98" w:name="_Toc85964234"/>
            <w:bookmarkStart w:id="99" w:name="_Toc85964401"/>
            <w:bookmarkStart w:id="100" w:name="_Toc202077892"/>
            <w:bookmarkStart w:id="101" w:name="_Toc215908239"/>
            <w:r w:rsidRPr="00EC0573">
              <w:t>Base Point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tc>
        <w:tc>
          <w:tcPr>
            <w:tcW w:w="8656" w:type="dxa"/>
          </w:tcPr>
          <w:p w:rsidR="001C72A1" w:rsidRPr="0020239C" w:rsidRDefault="00346BCC" w:rsidP="000C0111">
            <w:pPr>
              <w:jc w:val="both"/>
              <w:rPr>
                <w:sz w:val="22"/>
              </w:rPr>
            </w:pPr>
            <w:r>
              <w:t>Primary work location (</w:t>
            </w:r>
            <w:r w:rsidR="00E658C3">
              <w:t xml:space="preserve">home, </w:t>
            </w:r>
            <w:r w:rsidR="001C72A1">
              <w:t>office or building</w:t>
            </w:r>
            <w:r>
              <w:t>)</w:t>
            </w:r>
            <w:r w:rsidR="001C72A1">
              <w:t xml:space="preserve"> where the traveler performs </w:t>
            </w:r>
            <w:r w:rsidR="00C73BCB">
              <w:t>their</w:t>
            </w:r>
            <w:r w:rsidR="001C72A1">
              <w:t xml:space="preserve"> duties on a r</w:t>
            </w:r>
            <w:r w:rsidR="00407A03">
              <w:t>egular</w:t>
            </w:r>
            <w:r w:rsidR="001C72A1">
              <w:t xml:space="preserve"> basis. </w:t>
            </w:r>
            <w:r w:rsidR="00F06CA3">
              <w:t>If the traveler works from</w:t>
            </w:r>
            <w:r w:rsidR="00F5366D">
              <w:t xml:space="preserve"> multiple locations, the Base Point is where responsibilities are performed </w:t>
            </w:r>
            <w:r w:rsidR="00407A03">
              <w:t xml:space="preserve">the </w:t>
            </w:r>
            <w:r w:rsidR="00F5366D">
              <w:t>majority of the time</w:t>
            </w:r>
            <w:r w:rsidR="0020239C">
              <w:t>.</w:t>
            </w:r>
            <w:r w:rsidR="00F06CA3">
              <w:rPr>
                <w:iCs/>
              </w:rPr>
              <w:t xml:space="preserve"> </w:t>
            </w:r>
            <w:r w:rsidR="00244D4D">
              <w:rPr>
                <w:iCs/>
              </w:rPr>
              <w:t>For travel purposes, m</w:t>
            </w:r>
            <w:r w:rsidR="001C72A1">
              <w:rPr>
                <w:iCs/>
              </w:rPr>
              <w:t>ultiple base points are not allowed</w:t>
            </w:r>
            <w:r w:rsidR="001C72A1">
              <w:t>.</w:t>
            </w:r>
            <w:r w:rsidR="001C72A1">
              <w:rPr>
                <w:b/>
                <w:sz w:val="22"/>
              </w:rPr>
              <w:t xml:space="preserve"> </w:t>
            </w:r>
            <w:r w:rsidR="0020239C">
              <w:rPr>
                <w:sz w:val="22"/>
              </w:rPr>
              <w:t>Travelers who need assistance identifying their Base Point shoul</w:t>
            </w:r>
            <w:r w:rsidR="00407A03">
              <w:rPr>
                <w:sz w:val="22"/>
              </w:rPr>
              <w:t>d</w:t>
            </w:r>
            <w:r w:rsidR="0020239C">
              <w:rPr>
                <w:sz w:val="22"/>
              </w:rPr>
              <w:t xml:space="preserve"> contact their manager or HR representative.</w:t>
            </w:r>
          </w:p>
          <w:p w:rsidR="001167E2" w:rsidRDefault="001167E2">
            <w:pPr>
              <w:rPr>
                <w:b/>
                <w:sz w:val="22"/>
              </w:rPr>
            </w:pPr>
          </w:p>
        </w:tc>
      </w:tr>
      <w:tr w:rsidR="001C72A1" w:rsidTr="00D73905">
        <w:trPr>
          <w:cantSplit/>
        </w:trPr>
        <w:tc>
          <w:tcPr>
            <w:tcW w:w="1640" w:type="dxa"/>
          </w:tcPr>
          <w:p w:rsidR="001C72A1" w:rsidRPr="00EC0573" w:rsidRDefault="001C72A1" w:rsidP="00EC0573">
            <w:pPr>
              <w:pStyle w:val="level2"/>
            </w:pPr>
            <w:bookmarkStart w:id="102" w:name="_Toc15887658"/>
            <w:bookmarkStart w:id="103" w:name="_Toc15888940"/>
            <w:bookmarkStart w:id="104" w:name="_Toc15889093"/>
            <w:bookmarkStart w:id="105" w:name="_Toc15889175"/>
            <w:bookmarkStart w:id="106" w:name="_Toc15889655"/>
            <w:bookmarkStart w:id="107" w:name="_Toc15889948"/>
            <w:bookmarkStart w:id="108" w:name="_Toc15958958"/>
            <w:bookmarkStart w:id="109" w:name="_Toc85964236"/>
            <w:bookmarkStart w:id="110" w:name="_Toc85964403"/>
            <w:bookmarkStart w:id="111" w:name="_Toc202077893"/>
            <w:bookmarkStart w:id="112" w:name="_Toc215908240"/>
            <w:r w:rsidRPr="00EC0573">
              <w:t>Commuting Mileage</w:t>
            </w:r>
            <w:bookmarkEnd w:id="102"/>
            <w:bookmarkEnd w:id="103"/>
            <w:bookmarkEnd w:id="104"/>
            <w:bookmarkEnd w:id="105"/>
            <w:bookmarkEnd w:id="106"/>
            <w:bookmarkEnd w:id="107"/>
            <w:bookmarkEnd w:id="108"/>
            <w:bookmarkEnd w:id="109"/>
            <w:bookmarkEnd w:id="110"/>
            <w:bookmarkEnd w:id="111"/>
            <w:bookmarkEnd w:id="112"/>
          </w:p>
        </w:tc>
        <w:tc>
          <w:tcPr>
            <w:tcW w:w="8656" w:type="dxa"/>
            <w:tcBorders>
              <w:left w:val="nil"/>
            </w:tcBorders>
          </w:tcPr>
          <w:p w:rsidR="001167E2" w:rsidRDefault="001C72A1" w:rsidP="00C30BA3">
            <w:pPr>
              <w:pStyle w:val="BlockText"/>
              <w:jc w:val="both"/>
              <w:rPr>
                <w:i/>
              </w:rPr>
            </w:pPr>
            <w:r>
              <w:t xml:space="preserve">Round-trip mileage traveled routinely by the employee between </w:t>
            </w:r>
            <w:r w:rsidR="007503C2">
              <w:t>their</w:t>
            </w:r>
            <w:r>
              <w:t xml:space="preserve"> residence and base point</w:t>
            </w:r>
            <w:r w:rsidR="00F52D44">
              <w:t xml:space="preserve"> (if different)</w:t>
            </w:r>
            <w:r>
              <w:t>.</w:t>
            </w:r>
            <w:r w:rsidR="00C30BA3">
              <w:t xml:space="preserve"> </w:t>
            </w:r>
            <w:r>
              <w:rPr>
                <w:i/>
              </w:rPr>
              <w:t>Mileage and other commuting cost incurred during commuting status are considered a personal expense and are not reimbursable.</w:t>
            </w:r>
          </w:p>
          <w:p w:rsidR="00423648" w:rsidRPr="00364DE7" w:rsidRDefault="00423648">
            <w:pPr>
              <w:pStyle w:val="BlockText"/>
              <w:rPr>
                <w:i/>
              </w:rPr>
            </w:pPr>
          </w:p>
        </w:tc>
      </w:tr>
      <w:tr w:rsidR="005A548A" w:rsidTr="00D73905">
        <w:trPr>
          <w:cantSplit/>
        </w:trPr>
        <w:tc>
          <w:tcPr>
            <w:tcW w:w="1640" w:type="dxa"/>
          </w:tcPr>
          <w:p w:rsidR="00035A37" w:rsidRDefault="00035A37" w:rsidP="00035A37">
            <w:pPr>
              <w:pStyle w:val="level2"/>
            </w:pPr>
            <w:bookmarkStart w:id="113" w:name="_Toc85964239"/>
            <w:bookmarkStart w:id="114" w:name="_Toc85964406"/>
            <w:bookmarkStart w:id="115" w:name="_Toc202077894"/>
            <w:bookmarkStart w:id="116" w:name="_Toc215908243"/>
            <w:r w:rsidRPr="00EC0573">
              <w:t>International Travel</w:t>
            </w:r>
            <w:bookmarkEnd w:id="113"/>
            <w:bookmarkEnd w:id="114"/>
            <w:bookmarkEnd w:id="115"/>
            <w:bookmarkEnd w:id="116"/>
          </w:p>
          <w:p w:rsidR="005A548A" w:rsidRPr="00EC0573" w:rsidRDefault="005A548A" w:rsidP="00EC0573">
            <w:pPr>
              <w:pStyle w:val="level2"/>
            </w:pPr>
          </w:p>
        </w:tc>
        <w:tc>
          <w:tcPr>
            <w:tcW w:w="8656" w:type="dxa"/>
          </w:tcPr>
          <w:p w:rsidR="00035A37" w:rsidRDefault="008A6903" w:rsidP="00035A37">
            <w:pPr>
              <w:pStyle w:val="BlockText"/>
              <w:rPr>
                <w:color w:val="000000"/>
              </w:rPr>
            </w:pPr>
            <w:r>
              <w:t>All</w:t>
            </w:r>
            <w:r w:rsidR="00035A37">
              <w:t xml:space="preserve"> travel to areas outside of the 48 contiguous United States</w:t>
            </w:r>
            <w:r>
              <w:t xml:space="preserve"> </w:t>
            </w:r>
            <w:r w:rsidR="0047052D">
              <w:t xml:space="preserve">and District of Columbia </w:t>
            </w:r>
            <w:r>
              <w:t>to include Hawaii, Alaska</w:t>
            </w:r>
            <w:r w:rsidR="008068C6">
              <w:t xml:space="preserve">, </w:t>
            </w:r>
            <w:r>
              <w:t>Puerto Rico</w:t>
            </w:r>
            <w:r w:rsidR="008068C6">
              <w:t xml:space="preserve"> and </w:t>
            </w:r>
            <w:r w:rsidR="00DE48C4">
              <w:t xml:space="preserve">US </w:t>
            </w:r>
            <w:r w:rsidR="0047052D">
              <w:t>territories and possessions</w:t>
            </w:r>
            <w:r>
              <w:t>.</w:t>
            </w:r>
          </w:p>
          <w:p w:rsidR="001167E2" w:rsidRDefault="001167E2" w:rsidP="00FB54E3">
            <w:pPr>
              <w:pStyle w:val="BlockText"/>
            </w:pPr>
          </w:p>
        </w:tc>
      </w:tr>
      <w:tr w:rsidR="001C72A1" w:rsidTr="00D73905">
        <w:trPr>
          <w:cantSplit/>
        </w:trPr>
        <w:tc>
          <w:tcPr>
            <w:tcW w:w="1640" w:type="dxa"/>
          </w:tcPr>
          <w:p w:rsidR="00383A44" w:rsidRPr="00EC0573" w:rsidRDefault="00383A44" w:rsidP="00EC0573">
            <w:pPr>
              <w:pStyle w:val="level2"/>
            </w:pPr>
            <w:r>
              <w:t>Lodging</w:t>
            </w:r>
          </w:p>
        </w:tc>
        <w:tc>
          <w:tcPr>
            <w:tcW w:w="8656" w:type="dxa"/>
          </w:tcPr>
          <w:p w:rsidR="00383A44" w:rsidRDefault="00383A44">
            <w:pPr>
              <w:pStyle w:val="BlockText"/>
              <w:rPr>
                <w:color w:val="000000"/>
              </w:rPr>
            </w:pPr>
            <w:r>
              <w:rPr>
                <w:color w:val="000000"/>
              </w:rPr>
              <w:t xml:space="preserve">Temporary quarters, hotel, motel, house, apartment, </w:t>
            </w:r>
            <w:r w:rsidR="00525F96">
              <w:rPr>
                <w:color w:val="000000"/>
              </w:rPr>
              <w:t xml:space="preserve">room, hostel, </w:t>
            </w:r>
            <w:r>
              <w:rPr>
                <w:color w:val="000000"/>
              </w:rPr>
              <w:t xml:space="preserve">etc.  </w:t>
            </w:r>
          </w:p>
          <w:p w:rsidR="001167E2" w:rsidRDefault="001167E2">
            <w:pPr>
              <w:pStyle w:val="BlockText"/>
            </w:pPr>
          </w:p>
        </w:tc>
      </w:tr>
      <w:tr w:rsidR="001C72A1" w:rsidTr="00D73905">
        <w:trPr>
          <w:cantSplit/>
        </w:trPr>
        <w:tc>
          <w:tcPr>
            <w:tcW w:w="1640" w:type="dxa"/>
          </w:tcPr>
          <w:p w:rsidR="001C72A1" w:rsidRDefault="001C72A1" w:rsidP="00EC0573">
            <w:pPr>
              <w:pStyle w:val="level2"/>
            </w:pPr>
            <w:bookmarkStart w:id="117" w:name="_Toc85964241"/>
            <w:bookmarkStart w:id="118" w:name="_Toc85964408"/>
            <w:bookmarkStart w:id="119" w:name="_Toc202077897"/>
            <w:bookmarkStart w:id="120" w:name="_Toc215908246"/>
            <w:r w:rsidRPr="00EC0573">
              <w:t>Official Station</w:t>
            </w:r>
            <w:bookmarkEnd w:id="117"/>
            <w:bookmarkEnd w:id="118"/>
            <w:bookmarkEnd w:id="119"/>
            <w:bookmarkEnd w:id="120"/>
          </w:p>
          <w:p w:rsidR="00383A44" w:rsidRPr="00EC0573" w:rsidRDefault="00383A44" w:rsidP="00EC0573">
            <w:pPr>
              <w:pStyle w:val="level2"/>
            </w:pPr>
          </w:p>
        </w:tc>
        <w:tc>
          <w:tcPr>
            <w:tcW w:w="8656" w:type="dxa"/>
          </w:tcPr>
          <w:p w:rsidR="001C72A1" w:rsidRDefault="001C72A1">
            <w:pPr>
              <w:pStyle w:val="BlockText"/>
              <w:numPr>
                <w:ilvl w:val="12"/>
                <w:numId w:val="0"/>
              </w:numPr>
            </w:pPr>
            <w:r>
              <w:t>The area within a 25-mile radius of an employee’s designated base point.</w:t>
            </w:r>
            <w:r w:rsidR="00525F96">
              <w:t xml:space="preserve"> Fully remote employees that need to travel to the MPC or MCV campus (beyond 25-mile) for work related business must have VP approval for mileage reimbursement. </w:t>
            </w:r>
          </w:p>
          <w:p w:rsidR="001C72A1" w:rsidRDefault="001C72A1">
            <w:pPr>
              <w:pStyle w:val="BlockText"/>
              <w:numPr>
                <w:ilvl w:val="12"/>
                <w:numId w:val="0"/>
              </w:numPr>
            </w:pPr>
          </w:p>
        </w:tc>
      </w:tr>
      <w:tr w:rsidR="00545054" w:rsidTr="00D73905">
        <w:trPr>
          <w:cantSplit/>
        </w:trPr>
        <w:tc>
          <w:tcPr>
            <w:tcW w:w="1640" w:type="dxa"/>
          </w:tcPr>
          <w:p w:rsidR="007C0BEA" w:rsidRDefault="007C0BEA" w:rsidP="00EC0573">
            <w:pPr>
              <w:pStyle w:val="level2"/>
            </w:pPr>
          </w:p>
          <w:p w:rsidR="00545054" w:rsidRDefault="00383A44" w:rsidP="00EC0573">
            <w:pPr>
              <w:pStyle w:val="level2"/>
            </w:pPr>
            <w:r>
              <w:t xml:space="preserve">Per Diem </w:t>
            </w:r>
          </w:p>
          <w:p w:rsidR="00383A44" w:rsidRPr="00EC0573" w:rsidRDefault="00383A44" w:rsidP="00EC0573">
            <w:pPr>
              <w:pStyle w:val="level2"/>
            </w:pPr>
          </w:p>
        </w:tc>
        <w:tc>
          <w:tcPr>
            <w:tcW w:w="8656" w:type="dxa"/>
          </w:tcPr>
          <w:p w:rsidR="007C0BEA" w:rsidRDefault="007C0BEA" w:rsidP="0067443D">
            <w:pPr>
              <w:pStyle w:val="BlockText"/>
              <w:numPr>
                <w:ilvl w:val="12"/>
                <w:numId w:val="0"/>
              </w:numPr>
            </w:pPr>
          </w:p>
          <w:p w:rsidR="001167E2" w:rsidRDefault="0067443D" w:rsidP="007C0BEA">
            <w:pPr>
              <w:pStyle w:val="BlockText"/>
              <w:numPr>
                <w:ilvl w:val="12"/>
                <w:numId w:val="0"/>
              </w:numPr>
            </w:pPr>
            <w:r>
              <w:t xml:space="preserve">Specific </w:t>
            </w:r>
            <w:r w:rsidRPr="0067443D">
              <w:t xml:space="preserve">daily allowance for </w:t>
            </w:r>
            <w:r>
              <w:t>meal</w:t>
            </w:r>
            <w:r w:rsidRPr="0067443D">
              <w:t xml:space="preserve"> expenses</w:t>
            </w:r>
            <w:r>
              <w:t xml:space="preserve"> based on the travel location without receipts.</w:t>
            </w:r>
          </w:p>
        </w:tc>
      </w:tr>
      <w:tr w:rsidR="00B05CF2" w:rsidTr="00D73905">
        <w:trPr>
          <w:cantSplit/>
          <w:trHeight w:val="360"/>
        </w:trPr>
        <w:tc>
          <w:tcPr>
            <w:tcW w:w="1640" w:type="dxa"/>
          </w:tcPr>
          <w:p w:rsidR="007C0BEA" w:rsidRDefault="007C0BEA" w:rsidP="00384328">
            <w:pPr>
              <w:pStyle w:val="level2"/>
              <w:spacing w:line="276" w:lineRule="auto"/>
            </w:pPr>
            <w:bookmarkStart w:id="121" w:name="_Toc461526117"/>
            <w:bookmarkStart w:id="122" w:name="_Toc461527427"/>
            <w:bookmarkStart w:id="123" w:name="_Toc461527906"/>
            <w:bookmarkStart w:id="124" w:name="_Toc461870043"/>
            <w:bookmarkStart w:id="125" w:name="_Toc480969207"/>
            <w:bookmarkStart w:id="126" w:name="_Toc480969474"/>
            <w:bookmarkStart w:id="127" w:name="_Toc480969558"/>
            <w:bookmarkStart w:id="128" w:name="_Toc480969642"/>
            <w:bookmarkStart w:id="129" w:name="_Toc480969822"/>
            <w:bookmarkStart w:id="130" w:name="_Toc481206786"/>
            <w:bookmarkStart w:id="131" w:name="_Toc482757878"/>
            <w:bookmarkStart w:id="132" w:name="_Toc482758126"/>
            <w:bookmarkStart w:id="133" w:name="_Toc483016456"/>
            <w:bookmarkStart w:id="134" w:name="_Toc483795429"/>
            <w:bookmarkStart w:id="135" w:name="_Toc483798363"/>
            <w:bookmarkStart w:id="136" w:name="_Toc15887665"/>
            <w:bookmarkStart w:id="137" w:name="_Toc15888947"/>
            <w:bookmarkStart w:id="138" w:name="_Toc15889100"/>
            <w:bookmarkStart w:id="139" w:name="_Toc15889182"/>
            <w:bookmarkStart w:id="140" w:name="_Toc15889662"/>
            <w:bookmarkStart w:id="141" w:name="_Toc15889955"/>
            <w:bookmarkStart w:id="142" w:name="_Toc15958965"/>
            <w:bookmarkStart w:id="143" w:name="_Toc19433829"/>
            <w:bookmarkStart w:id="144" w:name="_Toc20124414"/>
            <w:bookmarkStart w:id="145" w:name="_Toc85964243"/>
            <w:bookmarkStart w:id="146" w:name="_Toc85964410"/>
            <w:bookmarkStart w:id="147" w:name="_Toc202077902"/>
            <w:bookmarkStart w:id="148" w:name="_Toc215908251"/>
          </w:p>
          <w:p w:rsidR="00B05CF2" w:rsidRDefault="00B05CF2" w:rsidP="00197482">
            <w:pPr>
              <w:pStyle w:val="level2"/>
            </w:pPr>
            <w:r w:rsidRPr="00EC0573">
              <w:t>State Employee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F25286" w:rsidRDefault="00F25286" w:rsidP="00197482">
            <w:pPr>
              <w:pStyle w:val="level2"/>
            </w:pPr>
          </w:p>
          <w:p w:rsidR="00F25286" w:rsidRDefault="00F25286" w:rsidP="00197482">
            <w:pPr>
              <w:pStyle w:val="level2"/>
            </w:pPr>
            <w:r>
              <w:t>Travel Management Company</w:t>
            </w:r>
          </w:p>
          <w:p w:rsidR="00364DE7" w:rsidRPr="00EC0573" w:rsidRDefault="00364DE7" w:rsidP="00197482">
            <w:pPr>
              <w:pStyle w:val="level2"/>
            </w:pPr>
          </w:p>
        </w:tc>
        <w:tc>
          <w:tcPr>
            <w:tcW w:w="8656" w:type="dxa"/>
          </w:tcPr>
          <w:p w:rsidR="00C30BA3" w:rsidRDefault="00C30BA3" w:rsidP="00197482">
            <w:pPr>
              <w:pStyle w:val="BlockText"/>
              <w:numPr>
                <w:ilvl w:val="12"/>
                <w:numId w:val="0"/>
              </w:numPr>
            </w:pPr>
          </w:p>
          <w:p w:rsidR="00B05CF2" w:rsidRDefault="00B05CF2" w:rsidP="00197482">
            <w:pPr>
              <w:pStyle w:val="BlockText"/>
              <w:numPr>
                <w:ilvl w:val="12"/>
                <w:numId w:val="0"/>
              </w:numPr>
            </w:pPr>
            <w:r>
              <w:t xml:space="preserve">Any elected, appointed, classified, or </w:t>
            </w:r>
            <w:r>
              <w:rPr>
                <w:color w:val="000000"/>
              </w:rPr>
              <w:t>non-c</w:t>
            </w:r>
            <w:r>
              <w:t>lassified employee of the Commonwealth.</w:t>
            </w:r>
          </w:p>
          <w:p w:rsidR="00F25286" w:rsidRDefault="00F25286" w:rsidP="00384328">
            <w:pPr>
              <w:pStyle w:val="BlockText"/>
              <w:numPr>
                <w:ilvl w:val="12"/>
                <w:numId w:val="0"/>
              </w:numPr>
              <w:spacing w:line="360" w:lineRule="auto"/>
            </w:pPr>
          </w:p>
          <w:p w:rsidR="00F25286" w:rsidRPr="00F25286" w:rsidRDefault="00F25286" w:rsidP="00197482">
            <w:pPr>
              <w:pStyle w:val="BlockText"/>
              <w:numPr>
                <w:ilvl w:val="12"/>
                <w:numId w:val="0"/>
              </w:numPr>
            </w:pPr>
            <w:r>
              <w:t xml:space="preserve">The contracted company (currently </w:t>
            </w:r>
            <w:r>
              <w:rPr>
                <w:b/>
              </w:rPr>
              <w:t>Collegiate Travel Planners</w:t>
            </w:r>
            <w:r>
              <w:t xml:space="preserve">) mandated by the university </w:t>
            </w:r>
            <w:r w:rsidR="00384328">
              <w:t>for</w:t>
            </w:r>
            <w:r>
              <w:t xml:space="preserve"> use to book all </w:t>
            </w:r>
            <w:r w:rsidR="008B55EB">
              <w:t>official university business</w:t>
            </w:r>
            <w:r>
              <w:t xml:space="preserve"> air and rail travel</w:t>
            </w:r>
            <w:r w:rsidR="00384328">
              <w:t>.</w:t>
            </w:r>
            <w:r>
              <w:t xml:space="preserve"> </w:t>
            </w:r>
          </w:p>
        </w:tc>
      </w:tr>
      <w:tr w:rsidR="001C72A1" w:rsidTr="00D73905">
        <w:trPr>
          <w:cantSplit/>
        </w:trPr>
        <w:tc>
          <w:tcPr>
            <w:tcW w:w="1640" w:type="dxa"/>
          </w:tcPr>
          <w:p w:rsidR="001C72A1" w:rsidRPr="00EE5048" w:rsidRDefault="001C72A1" w:rsidP="00EE5048">
            <w:pPr>
              <w:pStyle w:val="level2"/>
            </w:pPr>
            <w:bookmarkStart w:id="149" w:name="_Toc461526118"/>
            <w:bookmarkStart w:id="150" w:name="_Toc461527428"/>
            <w:bookmarkStart w:id="151" w:name="_Toc461527907"/>
            <w:bookmarkStart w:id="152" w:name="_Toc461870044"/>
            <w:bookmarkStart w:id="153" w:name="_Toc480969208"/>
            <w:bookmarkStart w:id="154" w:name="_Toc480969475"/>
            <w:bookmarkStart w:id="155" w:name="_Toc480969559"/>
            <w:bookmarkStart w:id="156" w:name="_Toc480969643"/>
            <w:bookmarkStart w:id="157" w:name="_Toc480969823"/>
            <w:bookmarkStart w:id="158" w:name="_Toc481206787"/>
            <w:bookmarkStart w:id="159" w:name="_Toc482757879"/>
            <w:bookmarkStart w:id="160" w:name="_Toc482758127"/>
            <w:bookmarkStart w:id="161" w:name="_Toc483016458"/>
            <w:bookmarkStart w:id="162" w:name="_Toc483795431"/>
            <w:bookmarkStart w:id="163" w:name="_Toc483798365"/>
            <w:bookmarkStart w:id="164" w:name="_Toc15887667"/>
            <w:bookmarkStart w:id="165" w:name="_Toc15888949"/>
            <w:bookmarkStart w:id="166" w:name="_Toc15889102"/>
            <w:bookmarkStart w:id="167" w:name="_Toc15889184"/>
            <w:bookmarkStart w:id="168" w:name="_Toc15889664"/>
            <w:bookmarkStart w:id="169" w:name="_Toc15889957"/>
            <w:bookmarkStart w:id="170" w:name="_Toc15958967"/>
            <w:bookmarkStart w:id="171" w:name="_Toc85964245"/>
            <w:bookmarkStart w:id="172" w:name="_Toc85964412"/>
            <w:bookmarkStart w:id="173" w:name="_Toc202077904"/>
            <w:bookmarkStart w:id="174" w:name="_Toc215908253"/>
            <w:r w:rsidRPr="00EE5048">
              <w:t>Travel Status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tc>
        <w:tc>
          <w:tcPr>
            <w:tcW w:w="8656" w:type="dxa"/>
            <w:tcBorders>
              <w:left w:val="nil"/>
            </w:tcBorders>
          </w:tcPr>
          <w:p w:rsidR="001C72A1" w:rsidRDefault="001C72A1">
            <w:pPr>
              <w:pStyle w:val="BulletText1"/>
              <w:ind w:left="0" w:firstLine="0"/>
              <w:rPr>
                <w:iCs/>
              </w:rPr>
            </w:pPr>
            <w:r>
              <w:rPr>
                <w:iCs/>
              </w:rPr>
              <w:t xml:space="preserve">Travel </w:t>
            </w:r>
            <w:r w:rsidR="00C73BCB">
              <w:rPr>
                <w:iCs/>
              </w:rPr>
              <w:t xml:space="preserve">on behalf of the university </w:t>
            </w:r>
            <w:r>
              <w:rPr>
                <w:iCs/>
              </w:rPr>
              <w:t>outside of an employee’s official station.</w:t>
            </w:r>
          </w:p>
          <w:p w:rsidR="001167E2" w:rsidRDefault="001167E2">
            <w:pPr>
              <w:pStyle w:val="BulletText1"/>
              <w:ind w:left="0" w:firstLine="0"/>
              <w:rPr>
                <w:iCs/>
              </w:rPr>
            </w:pPr>
          </w:p>
        </w:tc>
      </w:tr>
      <w:tr w:rsidR="001C72A1" w:rsidTr="00692408">
        <w:trPr>
          <w:cantSplit/>
          <w:trHeight w:val="855"/>
        </w:trPr>
        <w:tc>
          <w:tcPr>
            <w:tcW w:w="1640" w:type="dxa"/>
          </w:tcPr>
          <w:p w:rsidR="00E208E5" w:rsidRDefault="001C72A1" w:rsidP="00E821D7">
            <w:pPr>
              <w:pStyle w:val="level2"/>
            </w:pPr>
            <w:bookmarkStart w:id="175" w:name="_Toc15887668"/>
            <w:bookmarkStart w:id="176" w:name="_Toc15888950"/>
            <w:bookmarkStart w:id="177" w:name="_Toc15889103"/>
            <w:bookmarkStart w:id="178" w:name="_Toc15889185"/>
            <w:bookmarkStart w:id="179" w:name="_Toc15889665"/>
            <w:bookmarkStart w:id="180" w:name="_Toc15889958"/>
            <w:bookmarkStart w:id="181" w:name="_Toc15958968"/>
            <w:bookmarkStart w:id="182" w:name="_Toc19433832"/>
            <w:bookmarkStart w:id="183" w:name="_Toc20124417"/>
            <w:bookmarkStart w:id="184" w:name="_Toc85964246"/>
            <w:bookmarkStart w:id="185" w:name="_Toc85964413"/>
            <w:bookmarkStart w:id="186" w:name="_Toc202077905"/>
            <w:bookmarkStart w:id="187" w:name="_Toc215908254"/>
            <w:r w:rsidRPr="00EE5048">
              <w:t>Tri</w:t>
            </w:r>
            <w:bookmarkEnd w:id="175"/>
            <w:bookmarkEnd w:id="176"/>
            <w:bookmarkEnd w:id="177"/>
            <w:bookmarkEnd w:id="178"/>
            <w:bookmarkEnd w:id="179"/>
            <w:bookmarkEnd w:id="180"/>
            <w:bookmarkEnd w:id="181"/>
            <w:bookmarkEnd w:id="182"/>
            <w:bookmarkEnd w:id="183"/>
            <w:bookmarkEnd w:id="184"/>
            <w:bookmarkEnd w:id="185"/>
            <w:bookmarkEnd w:id="186"/>
            <w:bookmarkEnd w:id="187"/>
            <w:r w:rsidR="00E821D7">
              <w:t>p</w:t>
            </w:r>
          </w:p>
          <w:p w:rsidR="004F5DB3" w:rsidRDefault="004F5DB3" w:rsidP="00E821D7">
            <w:pPr>
              <w:pStyle w:val="level2"/>
            </w:pPr>
          </w:p>
          <w:p w:rsidR="004F5DB3" w:rsidRDefault="004F5DB3" w:rsidP="00384328">
            <w:pPr>
              <w:pStyle w:val="level2"/>
              <w:spacing w:line="360" w:lineRule="auto"/>
            </w:pPr>
          </w:p>
          <w:p w:rsidR="004F5DB3" w:rsidRPr="00EE5048" w:rsidRDefault="004F5DB3" w:rsidP="00E821D7">
            <w:pPr>
              <w:pStyle w:val="level2"/>
            </w:pPr>
            <w:r>
              <w:t>University and Academ</w:t>
            </w:r>
            <w:r w:rsidR="00A600E9">
              <w:t>ic Professionals</w:t>
            </w:r>
          </w:p>
        </w:tc>
        <w:tc>
          <w:tcPr>
            <w:tcW w:w="8656" w:type="dxa"/>
          </w:tcPr>
          <w:p w:rsidR="001167E2" w:rsidRDefault="001C72A1" w:rsidP="00C73BCB">
            <w:pPr>
              <w:pStyle w:val="BlockText"/>
            </w:pPr>
            <w:r>
              <w:t xml:space="preserve">Any period of continuous travel between when the traveler leaves </w:t>
            </w:r>
            <w:r w:rsidR="00C73BCB">
              <w:t xml:space="preserve">their </w:t>
            </w:r>
            <w:r>
              <w:t xml:space="preserve">residence or base point and returns to </w:t>
            </w:r>
            <w:r w:rsidR="00C73BCB">
              <w:t>their</w:t>
            </w:r>
            <w:r>
              <w:t xml:space="preserve"> residence or base point</w:t>
            </w:r>
          </w:p>
          <w:p w:rsidR="00A600E9" w:rsidRDefault="00A600E9" w:rsidP="00C73BCB">
            <w:pPr>
              <w:pStyle w:val="BlockText"/>
            </w:pPr>
          </w:p>
          <w:p w:rsidR="00A600E9" w:rsidRDefault="00A600E9" w:rsidP="00C73BCB">
            <w:pPr>
              <w:pStyle w:val="BlockText"/>
            </w:pPr>
            <w:r>
              <w:t xml:space="preserve">Employees of VCU </w:t>
            </w:r>
            <w:r w:rsidR="008068C6">
              <w:t xml:space="preserve">(most non-teaching and research employees) </w:t>
            </w:r>
            <w:r>
              <w:t xml:space="preserve">that are </w:t>
            </w:r>
            <w:r w:rsidR="008068C6">
              <w:t xml:space="preserve">still considered </w:t>
            </w:r>
            <w:r>
              <w:t>state employees earning state service</w:t>
            </w:r>
            <w:r w:rsidR="008068C6">
              <w:t xml:space="preserve">. </w:t>
            </w:r>
          </w:p>
        </w:tc>
      </w:tr>
      <w:tr w:rsidR="00867D5D" w:rsidTr="00692408">
        <w:trPr>
          <w:cantSplit/>
        </w:trPr>
        <w:tc>
          <w:tcPr>
            <w:tcW w:w="10296" w:type="dxa"/>
            <w:gridSpan w:val="2"/>
            <w:tcBorders>
              <w:bottom w:val="single" w:sz="4" w:space="0" w:color="auto"/>
            </w:tcBorders>
          </w:tcPr>
          <w:p w:rsidR="00867D5D" w:rsidRPr="00E208E5" w:rsidRDefault="00867D5D" w:rsidP="00692408">
            <w:pPr>
              <w:pStyle w:val="level1"/>
              <w:pBdr>
                <w:top w:val="none" w:sz="0" w:space="0" w:color="auto"/>
                <w:between w:val="none" w:sz="0" w:space="0" w:color="auto"/>
              </w:pBdr>
            </w:pPr>
          </w:p>
        </w:tc>
      </w:tr>
      <w:tr w:rsidR="00692408" w:rsidRPr="00692408" w:rsidTr="00692408">
        <w:trPr>
          <w:trHeight w:val="647"/>
        </w:trPr>
        <w:tc>
          <w:tcPr>
            <w:tcW w:w="10296" w:type="dxa"/>
            <w:gridSpan w:val="2"/>
            <w:tcBorders>
              <w:top w:val="single" w:sz="4" w:space="0" w:color="auto"/>
              <w:left w:val="single" w:sz="4" w:space="0" w:color="auto"/>
              <w:bottom w:val="single" w:sz="4" w:space="0" w:color="auto"/>
              <w:right w:val="single" w:sz="4" w:space="0" w:color="auto"/>
            </w:tcBorders>
          </w:tcPr>
          <w:p w:rsidR="00692408" w:rsidRPr="00692408" w:rsidRDefault="00692408" w:rsidP="008E2EC2">
            <w:pPr>
              <w:pStyle w:val="level1"/>
              <w:pBdr>
                <w:top w:val="none" w:sz="0" w:space="0" w:color="auto"/>
                <w:between w:val="none" w:sz="0" w:space="0" w:color="auto"/>
              </w:pBdr>
              <w:ind w:left="0"/>
              <w:rPr>
                <w:b w:val="0"/>
              </w:rPr>
            </w:pPr>
            <w:r>
              <w:t xml:space="preserve">Trip Planning </w:t>
            </w:r>
          </w:p>
        </w:tc>
      </w:tr>
      <w:tr w:rsidR="00423648" w:rsidTr="00D73905">
        <w:trPr>
          <w:cantSplit/>
        </w:trPr>
        <w:tc>
          <w:tcPr>
            <w:tcW w:w="1640" w:type="dxa"/>
          </w:tcPr>
          <w:p w:rsidR="00C30BA3" w:rsidRDefault="00C30BA3" w:rsidP="00423648">
            <w:pPr>
              <w:pStyle w:val="level2"/>
            </w:pPr>
          </w:p>
          <w:p w:rsidR="00423648" w:rsidRDefault="00423648" w:rsidP="00423648">
            <w:pPr>
              <w:pStyle w:val="level2"/>
            </w:pPr>
            <w:r>
              <w:t>Pre-Approval</w:t>
            </w:r>
          </w:p>
          <w:p w:rsidR="00423648" w:rsidRDefault="00423648" w:rsidP="00511E44">
            <w:pPr>
              <w:pStyle w:val="level2"/>
            </w:pPr>
          </w:p>
        </w:tc>
        <w:tc>
          <w:tcPr>
            <w:tcW w:w="8656" w:type="dxa"/>
          </w:tcPr>
          <w:p w:rsidR="00C30BA3" w:rsidRDefault="00C30BA3" w:rsidP="00C30BA3">
            <w:pPr>
              <w:pStyle w:val="BlockText"/>
              <w:jc w:val="both"/>
            </w:pPr>
          </w:p>
          <w:p w:rsidR="00423648" w:rsidRDefault="008B55EB" w:rsidP="00C30BA3">
            <w:pPr>
              <w:pStyle w:val="BlockText"/>
              <w:jc w:val="both"/>
            </w:pPr>
            <w:r>
              <w:t xml:space="preserve">A </w:t>
            </w:r>
            <w:r w:rsidR="00423648">
              <w:t xml:space="preserve">Chrome River </w:t>
            </w:r>
            <w:r w:rsidR="00423648" w:rsidRPr="00E208E5">
              <w:t xml:space="preserve">Pre-Approval is required for trips for VCU employees in which expenses </w:t>
            </w:r>
            <w:r>
              <w:t xml:space="preserve">are estimated to </w:t>
            </w:r>
            <w:r w:rsidR="00423648" w:rsidRPr="00E208E5">
              <w:t>exceed $500</w:t>
            </w:r>
            <w:r w:rsidR="00423648">
              <w:t xml:space="preserve"> or when</w:t>
            </w:r>
            <w:r w:rsidR="001865A3">
              <w:t>ever</w:t>
            </w:r>
            <w:r w:rsidR="00423648">
              <w:t xml:space="preserve"> booking air or rail tickets. </w:t>
            </w:r>
            <w:r w:rsidR="00423648" w:rsidRPr="00E208E5">
              <w:t xml:space="preserve">The estimate </w:t>
            </w:r>
            <w:r w:rsidR="00423648">
              <w:t xml:space="preserve">should include lodging, </w:t>
            </w:r>
            <w:r w:rsidR="00423648" w:rsidRPr="00E208E5">
              <w:t xml:space="preserve">transportation, </w:t>
            </w:r>
            <w:r w:rsidR="001865A3">
              <w:t xml:space="preserve">per diem </w:t>
            </w:r>
            <w:r w:rsidR="00423648" w:rsidRPr="00E208E5">
              <w:t>meals, conference registration, and any other travel costs or course fees. Costs of the trip that may be direct billed, such as conference registration</w:t>
            </w:r>
            <w:r w:rsidR="001865A3">
              <w:t>,</w:t>
            </w:r>
            <w:r w:rsidR="00423648" w:rsidRPr="00E208E5">
              <w:t xml:space="preserve"> should also be included in the cost estimate.</w:t>
            </w:r>
          </w:p>
          <w:p w:rsidR="00423648" w:rsidRDefault="00423648" w:rsidP="00C30BA3">
            <w:pPr>
              <w:pStyle w:val="BlockText"/>
              <w:jc w:val="both"/>
            </w:pPr>
          </w:p>
        </w:tc>
      </w:tr>
      <w:tr w:rsidR="00423648" w:rsidTr="00D73905">
        <w:trPr>
          <w:cantSplit/>
        </w:trPr>
        <w:tc>
          <w:tcPr>
            <w:tcW w:w="1640" w:type="dxa"/>
          </w:tcPr>
          <w:p w:rsidR="00423648" w:rsidRPr="00DC34E8" w:rsidRDefault="00423648" w:rsidP="00423648">
            <w:pPr>
              <w:pStyle w:val="level2"/>
            </w:pPr>
            <w:r w:rsidRPr="00DC34E8">
              <w:t>Mandatory Travel Contract</w:t>
            </w:r>
            <w:r w:rsidR="002844FD">
              <w:t>s</w:t>
            </w:r>
          </w:p>
          <w:p w:rsidR="00423648" w:rsidRPr="005A1357" w:rsidRDefault="00423648" w:rsidP="00511E44">
            <w:pPr>
              <w:pStyle w:val="level2"/>
              <w:rPr>
                <w:b w:val="0"/>
                <w:sz w:val="20"/>
              </w:rPr>
            </w:pPr>
          </w:p>
        </w:tc>
        <w:tc>
          <w:tcPr>
            <w:tcW w:w="8656" w:type="dxa"/>
          </w:tcPr>
          <w:p w:rsidR="00423648" w:rsidRPr="00E208E5" w:rsidRDefault="00423648" w:rsidP="00C30BA3">
            <w:pPr>
              <w:pStyle w:val="BlockText"/>
              <w:jc w:val="both"/>
            </w:pPr>
            <w:r w:rsidRPr="00DC34E8">
              <w:t xml:space="preserve">VCU faculty and staff are required to book air and rail tickets for official business using University funds through </w:t>
            </w:r>
            <w:r w:rsidR="00E9420D" w:rsidRPr="00E9420D">
              <w:rPr>
                <w:b/>
              </w:rPr>
              <w:t>Collegiate Travel Planners</w:t>
            </w:r>
            <w:r w:rsidR="00E9420D">
              <w:rPr>
                <w:b/>
              </w:rPr>
              <w:t>,</w:t>
            </w:r>
            <w:r w:rsidR="00E9420D">
              <w:t xml:space="preserve"> </w:t>
            </w:r>
            <w:r w:rsidR="00EB7BFB">
              <w:t>our contract</w:t>
            </w:r>
            <w:r w:rsidR="00E9420D">
              <w:t>ed</w:t>
            </w:r>
            <w:r w:rsidR="00EB7BFB">
              <w:t xml:space="preserve"> Travel Management Company (TMC)</w:t>
            </w:r>
            <w:r w:rsidR="00E9420D">
              <w:t>,</w:t>
            </w:r>
            <w:r w:rsidR="001865A3">
              <w:t xml:space="preserve"> and paid </w:t>
            </w:r>
            <w:r w:rsidR="00EB7BFB">
              <w:t>using</w:t>
            </w:r>
            <w:r w:rsidR="001865A3">
              <w:t xml:space="preserve"> the university</w:t>
            </w:r>
            <w:r w:rsidR="00EB7BFB">
              <w:t>’s</w:t>
            </w:r>
            <w:r w:rsidR="001865A3">
              <w:t xml:space="preserve"> Agency Travel Card (ATC)</w:t>
            </w:r>
            <w:r w:rsidRPr="00DC34E8">
              <w:t xml:space="preserve">. Business travelers are encouraged to utilize </w:t>
            </w:r>
            <w:r w:rsidR="00EB7BFB">
              <w:t>our contracted vendor</w:t>
            </w:r>
            <w:r w:rsidR="00FF29F3">
              <w:t>s</w:t>
            </w:r>
            <w:r w:rsidR="00EB7BFB">
              <w:t xml:space="preserve"> </w:t>
            </w:r>
            <w:r w:rsidRPr="00DC34E8">
              <w:t xml:space="preserve">for </w:t>
            </w:r>
            <w:r>
              <w:t>lodging and vehicle rental</w:t>
            </w:r>
            <w:r w:rsidR="001865A3">
              <w:t xml:space="preserve"> </w:t>
            </w:r>
            <w:r>
              <w:t>as well</w:t>
            </w:r>
            <w:r w:rsidRPr="00DC34E8">
              <w:t xml:space="preserve"> to receive the benefits associated with VCU’s managed travel program.</w:t>
            </w:r>
          </w:p>
          <w:p w:rsidR="00423648" w:rsidRDefault="00423648" w:rsidP="00C30BA3">
            <w:pPr>
              <w:pStyle w:val="BlockText"/>
              <w:jc w:val="both"/>
            </w:pPr>
          </w:p>
        </w:tc>
      </w:tr>
      <w:tr w:rsidR="00423648" w:rsidTr="00D73905">
        <w:trPr>
          <w:cantSplit/>
        </w:trPr>
        <w:tc>
          <w:tcPr>
            <w:tcW w:w="1640" w:type="dxa"/>
          </w:tcPr>
          <w:p w:rsidR="00423648" w:rsidRDefault="00423648" w:rsidP="00423648">
            <w:pPr>
              <w:pStyle w:val="level2"/>
            </w:pPr>
            <w:r>
              <w:t>Combining Personal &amp; Business Travel</w:t>
            </w:r>
          </w:p>
          <w:p w:rsidR="00423648" w:rsidRPr="00225FC7" w:rsidRDefault="00423648" w:rsidP="00423648">
            <w:pPr>
              <w:pStyle w:val="level2"/>
              <w:rPr>
                <w:sz w:val="16"/>
                <w:szCs w:val="16"/>
              </w:rPr>
            </w:pPr>
          </w:p>
          <w:p w:rsidR="00423648" w:rsidRDefault="00423648" w:rsidP="00511E44">
            <w:pPr>
              <w:pStyle w:val="level2"/>
            </w:pPr>
          </w:p>
        </w:tc>
        <w:tc>
          <w:tcPr>
            <w:tcW w:w="8656" w:type="dxa"/>
          </w:tcPr>
          <w:p w:rsidR="00423648" w:rsidRDefault="00423648" w:rsidP="00C30BA3">
            <w:pPr>
              <w:jc w:val="both"/>
            </w:pPr>
            <w:r w:rsidRPr="00DC34E8">
              <w:t xml:space="preserve">Travelers who include personal </w:t>
            </w:r>
            <w:r>
              <w:t>travel</w:t>
            </w:r>
            <w:r w:rsidRPr="00DC34E8">
              <w:t xml:space="preserve"> when traveling for</w:t>
            </w:r>
            <w:r>
              <w:t xml:space="preserve"> </w:t>
            </w:r>
            <w:r w:rsidRPr="00DC34E8">
              <w:t>authorized VCU business must obtain</w:t>
            </w:r>
            <w:r w:rsidR="002844FD">
              <w:t xml:space="preserve"> and provide for reimbursement</w:t>
            </w:r>
            <w:r>
              <w:t xml:space="preserve"> the cost</w:t>
            </w:r>
            <w:r w:rsidRPr="00DC34E8">
              <w:t xml:space="preserve"> for the business travel portion only</w:t>
            </w:r>
            <w:r>
              <w:t xml:space="preserve">. This cost must be </w:t>
            </w:r>
            <w:r w:rsidR="00544378">
              <w:t xml:space="preserve">based on </w:t>
            </w:r>
            <w:r w:rsidR="00EB7BFB">
              <w:t xml:space="preserve">the lowest comparable </w:t>
            </w:r>
            <w:r w:rsidR="00544378">
              <w:t xml:space="preserve">economy class </w:t>
            </w:r>
            <w:r w:rsidR="00EB7BFB">
              <w:t>fare</w:t>
            </w:r>
            <w:r w:rsidR="00544378">
              <w:t>(s)</w:t>
            </w:r>
            <w:r w:rsidR="00EB7BFB">
              <w:t xml:space="preserve"> </w:t>
            </w:r>
            <w:r>
              <w:t xml:space="preserve">obtained through </w:t>
            </w:r>
            <w:r w:rsidR="00E9420D" w:rsidRPr="00E9420D">
              <w:rPr>
                <w:b/>
              </w:rPr>
              <w:t>Collegiate Travel Planners</w:t>
            </w:r>
            <w:r w:rsidR="00E9420D">
              <w:t xml:space="preserve">, </w:t>
            </w:r>
            <w:r w:rsidR="009C7A95">
              <w:t xml:space="preserve">our </w:t>
            </w:r>
            <w:r w:rsidR="00EB7BFB">
              <w:t xml:space="preserve">contracted </w:t>
            </w:r>
            <w:r w:rsidR="009C7A95">
              <w:t>Travel Management Company</w:t>
            </w:r>
            <w:r>
              <w:t xml:space="preserve"> (</w:t>
            </w:r>
            <w:r w:rsidR="002844FD">
              <w:t xml:space="preserve">either </w:t>
            </w:r>
            <w:r>
              <w:t>online or agent)</w:t>
            </w:r>
            <w:r w:rsidR="00E9420D">
              <w:t>,</w:t>
            </w:r>
            <w:r>
              <w:t xml:space="preserve"> and must be at </w:t>
            </w:r>
            <w:r w:rsidRPr="00DC34E8">
              <w:t>the time of booking</w:t>
            </w:r>
            <w:r>
              <w:t xml:space="preserve">. </w:t>
            </w:r>
            <w:r w:rsidR="00454462">
              <w:t>The a</w:t>
            </w:r>
            <w:r w:rsidRPr="00017880">
              <w:t xml:space="preserve">ir and rail tickets must be purchased through </w:t>
            </w:r>
            <w:r w:rsidR="00EB7BFB">
              <w:t xml:space="preserve">our </w:t>
            </w:r>
            <w:r w:rsidR="00E9420D">
              <w:t>t</w:t>
            </w:r>
            <w:r w:rsidR="00EB7BFB">
              <w:t xml:space="preserve">ravel </w:t>
            </w:r>
            <w:r w:rsidR="00E9420D">
              <w:t>m</w:t>
            </w:r>
            <w:r w:rsidR="00EB7BFB">
              <w:t xml:space="preserve">anagement </w:t>
            </w:r>
            <w:r w:rsidR="00E9420D">
              <w:t>c</w:t>
            </w:r>
            <w:r w:rsidR="00EB7BFB">
              <w:t>ompany</w:t>
            </w:r>
            <w:r>
              <w:t xml:space="preserve"> regardless</w:t>
            </w:r>
            <w:r w:rsidRPr="00017880">
              <w:t>. </w:t>
            </w:r>
            <w:r>
              <w:t xml:space="preserve">The university </w:t>
            </w:r>
            <w:r w:rsidR="002844FD">
              <w:t>will</w:t>
            </w:r>
            <w:r>
              <w:t xml:space="preserve"> not pay more than the travel cost for</w:t>
            </w:r>
            <w:r w:rsidR="00454462">
              <w:t xml:space="preserve"> the</w:t>
            </w:r>
            <w:r>
              <w:t xml:space="preserve"> business portion. </w:t>
            </w:r>
            <w:r w:rsidR="005E74F6">
              <w:t xml:space="preserve">(see </w:t>
            </w:r>
            <w:r w:rsidR="005E74F6" w:rsidRPr="00CD0F12">
              <w:rPr>
                <w:b/>
              </w:rPr>
              <w:t>Documentation Requirements</w:t>
            </w:r>
            <w:r w:rsidR="005E74F6">
              <w:t xml:space="preserve">) </w:t>
            </w:r>
          </w:p>
          <w:p w:rsidR="00423648" w:rsidRDefault="00423648" w:rsidP="00C30BA3">
            <w:pPr>
              <w:jc w:val="both"/>
            </w:pPr>
          </w:p>
          <w:p w:rsidR="00423648" w:rsidRDefault="00423648" w:rsidP="00C30BA3">
            <w:pPr>
              <w:jc w:val="both"/>
            </w:pPr>
            <w:r>
              <w:t xml:space="preserve">Travel days that extend </w:t>
            </w:r>
            <w:r w:rsidRPr="00363CE1">
              <w:rPr>
                <w:u w:val="single"/>
              </w:rPr>
              <w:t>more</w:t>
            </w:r>
            <w:r>
              <w:t xml:space="preserve"> than one day before and one day after the business dates of the trip must be fully explained and justified</w:t>
            </w:r>
            <w:r w:rsidR="00BC517B">
              <w:t xml:space="preserve"> or are considered personal</w:t>
            </w:r>
            <w:r>
              <w:t xml:space="preserve">. </w:t>
            </w:r>
          </w:p>
          <w:p w:rsidR="00423648" w:rsidRPr="00DC34E8" w:rsidRDefault="00423648" w:rsidP="00C30BA3">
            <w:pPr>
              <w:jc w:val="both"/>
            </w:pPr>
          </w:p>
        </w:tc>
      </w:tr>
      <w:tr w:rsidR="00423648" w:rsidTr="00D73905">
        <w:trPr>
          <w:cantSplit/>
        </w:trPr>
        <w:tc>
          <w:tcPr>
            <w:tcW w:w="1640" w:type="dxa"/>
          </w:tcPr>
          <w:p w:rsidR="00423648" w:rsidRDefault="00423648" w:rsidP="00423648">
            <w:pPr>
              <w:pStyle w:val="level2"/>
            </w:pPr>
            <w:r>
              <w:lastRenderedPageBreak/>
              <w:t>Visa &amp; Passports</w:t>
            </w:r>
          </w:p>
          <w:p w:rsidR="00423648" w:rsidRDefault="00423648" w:rsidP="00511E44">
            <w:pPr>
              <w:pStyle w:val="level2"/>
            </w:pPr>
          </w:p>
        </w:tc>
        <w:tc>
          <w:tcPr>
            <w:tcW w:w="8656" w:type="dxa"/>
          </w:tcPr>
          <w:p w:rsidR="00423648" w:rsidRDefault="00423648" w:rsidP="00423648">
            <w:r>
              <w:t xml:space="preserve">Expenses associated with required business travel may be reimbursed. </w:t>
            </w:r>
          </w:p>
          <w:p w:rsidR="00423648" w:rsidRDefault="00423648" w:rsidP="00867D5D"/>
        </w:tc>
      </w:tr>
      <w:tr w:rsidR="00E208E5" w:rsidTr="00D73905">
        <w:trPr>
          <w:cantSplit/>
        </w:trPr>
        <w:tc>
          <w:tcPr>
            <w:tcW w:w="1640" w:type="dxa"/>
          </w:tcPr>
          <w:p w:rsidR="00C73BCB" w:rsidRDefault="004E1C09" w:rsidP="00511E44">
            <w:pPr>
              <w:pStyle w:val="level2"/>
            </w:pPr>
            <w:r>
              <w:t>Registration Fees</w:t>
            </w:r>
          </w:p>
          <w:p w:rsidR="004E1C09" w:rsidRDefault="004E1C09" w:rsidP="00511E44">
            <w:pPr>
              <w:pStyle w:val="level2"/>
            </w:pPr>
          </w:p>
          <w:p w:rsidR="004E1C09" w:rsidRDefault="004E1C09" w:rsidP="00511E44">
            <w:pPr>
              <w:pStyle w:val="level2"/>
            </w:pPr>
          </w:p>
          <w:p w:rsidR="005A1357" w:rsidRPr="00EE5048" w:rsidRDefault="005A1357" w:rsidP="00511E44">
            <w:pPr>
              <w:pStyle w:val="level2"/>
            </w:pPr>
          </w:p>
        </w:tc>
        <w:tc>
          <w:tcPr>
            <w:tcW w:w="8656" w:type="dxa"/>
          </w:tcPr>
          <w:p w:rsidR="003719B1" w:rsidRDefault="00AF67CD" w:rsidP="00C30BA3">
            <w:pPr>
              <w:jc w:val="both"/>
            </w:pPr>
            <w:r w:rsidRPr="00363CE1">
              <w:t xml:space="preserve">Registration </w:t>
            </w:r>
            <w:r w:rsidR="00363CE1" w:rsidRPr="00363CE1">
              <w:t xml:space="preserve">fees may be personally paid and reimbursed (after the trip) or paid </w:t>
            </w:r>
            <w:r w:rsidR="00BC517B">
              <w:t>using</w:t>
            </w:r>
            <w:r w:rsidR="00363CE1" w:rsidRPr="00363CE1">
              <w:t xml:space="preserve"> the department’s </w:t>
            </w:r>
            <w:proofErr w:type="spellStart"/>
            <w:r w:rsidR="00363CE1" w:rsidRPr="00363CE1">
              <w:t>P</w:t>
            </w:r>
            <w:r w:rsidR="00BC517B">
              <w:t>C</w:t>
            </w:r>
            <w:r w:rsidR="00363CE1" w:rsidRPr="00363CE1">
              <w:t>ard</w:t>
            </w:r>
            <w:proofErr w:type="spellEnd"/>
            <w:r w:rsidR="00363CE1" w:rsidRPr="00363CE1">
              <w:t>. F</w:t>
            </w:r>
            <w:r w:rsidR="00FE310B" w:rsidRPr="00363CE1">
              <w:t xml:space="preserve">ees </w:t>
            </w:r>
            <w:r w:rsidR="00363CE1" w:rsidRPr="00363CE1">
              <w:t>that are considered</w:t>
            </w:r>
            <w:r w:rsidR="00FE310B" w:rsidRPr="00363CE1">
              <w:t xml:space="preserve"> tax deductible, </w:t>
            </w:r>
            <w:r w:rsidR="00363CE1" w:rsidRPr="00363CE1">
              <w:t xml:space="preserve">a </w:t>
            </w:r>
            <w:r w:rsidR="00FE310B" w:rsidRPr="00363CE1">
              <w:t xml:space="preserve">contribution, </w:t>
            </w:r>
            <w:r w:rsidR="00363CE1" w:rsidRPr="00363CE1">
              <w:t xml:space="preserve">or </w:t>
            </w:r>
            <w:r w:rsidR="00FE310B" w:rsidRPr="00363CE1">
              <w:t>fund raiser require the President’s</w:t>
            </w:r>
            <w:r w:rsidR="00EB7BFB">
              <w:t xml:space="preserve"> Office</w:t>
            </w:r>
            <w:r w:rsidR="00FE310B" w:rsidRPr="00363CE1">
              <w:t xml:space="preserve"> approval</w:t>
            </w:r>
            <w:r w:rsidR="00363CE1" w:rsidRPr="00363CE1">
              <w:t>.</w:t>
            </w:r>
            <w:r w:rsidR="00FE310B" w:rsidRPr="00363CE1">
              <w:t xml:space="preserve"> </w:t>
            </w:r>
            <w:r w:rsidR="00363CE1">
              <w:t>Sponsorships</w:t>
            </w:r>
            <w:r w:rsidR="00363CE1" w:rsidRPr="00363CE1">
              <w:t xml:space="preserve"> must </w:t>
            </w:r>
            <w:r w:rsidR="00BC517B">
              <w:t xml:space="preserve">be </w:t>
            </w:r>
            <w:r w:rsidR="00363CE1">
              <w:t xml:space="preserve">approved by </w:t>
            </w:r>
            <w:r w:rsidR="00BC517B">
              <w:t>VCU Enterprise Marketing and Communications</w:t>
            </w:r>
            <w:r w:rsidR="00363CE1">
              <w:t xml:space="preserve">. </w:t>
            </w:r>
            <w:hyperlink r:id="rId10" w:tooltip="https://www.identity.vcu.edu/requests/" w:history="1">
              <w:r w:rsidR="00DC2901">
                <w:rPr>
                  <w:rStyle w:val="Hyperlink"/>
                </w:rPr>
                <w:t>https://marcom.vcu.edu/</w:t>
              </w:r>
            </w:hyperlink>
          </w:p>
          <w:p w:rsidR="00423648" w:rsidRDefault="00423648" w:rsidP="00423648"/>
        </w:tc>
      </w:tr>
      <w:tr w:rsidR="00423648" w:rsidTr="00D73905">
        <w:trPr>
          <w:cantSplit/>
        </w:trPr>
        <w:tc>
          <w:tcPr>
            <w:tcW w:w="1640" w:type="dxa"/>
          </w:tcPr>
          <w:p w:rsidR="00423648" w:rsidRDefault="00423648" w:rsidP="00511E44">
            <w:pPr>
              <w:pStyle w:val="level2"/>
            </w:pPr>
            <w:r>
              <w:t>Paying for Travel</w:t>
            </w:r>
          </w:p>
        </w:tc>
        <w:tc>
          <w:tcPr>
            <w:tcW w:w="8656" w:type="dxa"/>
          </w:tcPr>
          <w:p w:rsidR="00423648" w:rsidRDefault="00423648" w:rsidP="00423648">
            <w:pPr>
              <w:numPr>
                <w:ilvl w:val="0"/>
                <w:numId w:val="40"/>
              </w:numPr>
            </w:pPr>
            <w:r>
              <w:t>Agency Travel Card (ATC) –</w:t>
            </w:r>
            <w:r w:rsidR="006C4A4E">
              <w:t xml:space="preserve"> </w:t>
            </w:r>
            <w:r w:rsidR="00384328">
              <w:t xml:space="preserve">All </w:t>
            </w:r>
            <w:r w:rsidR="006C4A4E">
              <w:t>Air</w:t>
            </w:r>
            <w:r>
              <w:t xml:space="preserve"> and rail book</w:t>
            </w:r>
            <w:r w:rsidR="006C4A4E">
              <w:t>ed</w:t>
            </w:r>
            <w:r>
              <w:t xml:space="preserve"> through</w:t>
            </w:r>
            <w:r w:rsidR="00EB7BFB">
              <w:t xml:space="preserve"> </w:t>
            </w:r>
            <w:r w:rsidR="00E9420D" w:rsidRPr="00412B48">
              <w:rPr>
                <w:b/>
              </w:rPr>
              <w:t>Collegiate Travel Planners</w:t>
            </w:r>
            <w:r w:rsidR="00E9420D">
              <w:t xml:space="preserve">, </w:t>
            </w:r>
            <w:r w:rsidR="00882812">
              <w:t xml:space="preserve">our </w:t>
            </w:r>
            <w:r w:rsidR="006C4A4E">
              <w:t>mandatory travel management company</w:t>
            </w:r>
            <w:r w:rsidR="00882812">
              <w:t>,</w:t>
            </w:r>
            <w:r w:rsidR="006C4A4E">
              <w:t xml:space="preserve"> is paid on this university</w:t>
            </w:r>
            <w:r w:rsidR="00EB7BFB">
              <w:t xml:space="preserve"> VISA</w:t>
            </w:r>
            <w:r w:rsidR="006C4A4E">
              <w:t xml:space="preserve"> card.</w:t>
            </w:r>
          </w:p>
          <w:p w:rsidR="00423648" w:rsidRDefault="00423648" w:rsidP="00423648">
            <w:pPr>
              <w:numPr>
                <w:ilvl w:val="0"/>
                <w:numId w:val="40"/>
              </w:numPr>
            </w:pPr>
            <w:r>
              <w:t>Travel Card (</w:t>
            </w:r>
            <w:r w:rsidR="00C71B0D">
              <w:t>Individual</w:t>
            </w:r>
            <w:r>
              <w:t xml:space="preserve"> Liability</w:t>
            </w:r>
            <w:r w:rsidR="00E658C3">
              <w:t xml:space="preserve"> or IL</w:t>
            </w:r>
            <w:r>
              <w:t>) –</w:t>
            </w:r>
            <w:r w:rsidR="00C71B0D">
              <w:t xml:space="preserve"> University issued </w:t>
            </w:r>
            <w:r w:rsidR="00E658C3">
              <w:t xml:space="preserve">card </w:t>
            </w:r>
            <w:r w:rsidR="00C71B0D">
              <w:t>for other</w:t>
            </w:r>
            <w:r>
              <w:t xml:space="preserve"> travel related expenses</w:t>
            </w:r>
            <w:r w:rsidR="00C71B0D">
              <w:t xml:space="preserve"> including meals, car rental, lodging </w:t>
            </w:r>
            <w:proofErr w:type="spellStart"/>
            <w:r w:rsidR="00C71B0D">
              <w:t>etc</w:t>
            </w:r>
            <w:proofErr w:type="spellEnd"/>
          </w:p>
          <w:p w:rsidR="00423648" w:rsidRDefault="00423648" w:rsidP="00423648">
            <w:pPr>
              <w:numPr>
                <w:ilvl w:val="0"/>
                <w:numId w:val="40"/>
              </w:numPr>
            </w:pPr>
            <w:r>
              <w:t>Travel Cash Advance</w:t>
            </w:r>
            <w:r w:rsidR="00C71B0D">
              <w:t xml:space="preserve"> – in lieu of IL</w:t>
            </w:r>
            <w:r w:rsidR="00412B48">
              <w:t>, payment issued up to 14 days in advance to help cover travel expenses. The expense reimbursement payment is processed against the travel advance</w:t>
            </w:r>
            <w:r w:rsidR="00E658C3">
              <w:t>ment.</w:t>
            </w:r>
          </w:p>
          <w:p w:rsidR="00423648" w:rsidRDefault="00C71B0D" w:rsidP="00EB7BFB">
            <w:pPr>
              <w:numPr>
                <w:ilvl w:val="0"/>
                <w:numId w:val="40"/>
              </w:numPr>
            </w:pPr>
            <w:r>
              <w:t xml:space="preserve">Personal Funds </w:t>
            </w:r>
            <w:r w:rsidR="001B5B80">
              <w:t>–</w:t>
            </w:r>
            <w:r>
              <w:t xml:space="preserve"> </w:t>
            </w:r>
            <w:r w:rsidR="006C4A4E">
              <w:t>Paying for travel expenses during travel and seeking reimbursement after returning from travel</w:t>
            </w:r>
            <w:r w:rsidR="00EB7BFB">
              <w:t xml:space="preserve"> (Should only be used to pay for airfare if the airline requires or if personal travel increases the ticket cost)</w:t>
            </w:r>
          </w:p>
        </w:tc>
      </w:tr>
    </w:tbl>
    <w:p w:rsidR="00056A6B" w:rsidRPr="00056A6B" w:rsidRDefault="00056A6B" w:rsidP="00692408">
      <w:pPr>
        <w:pStyle w:val="level1"/>
        <w:pBdr>
          <w:top w:val="none" w:sz="0" w:space="0" w:color="auto"/>
          <w:between w:val="none" w:sz="0" w:space="0" w:color="auto"/>
        </w:pBdr>
      </w:pPr>
    </w:p>
    <w:tbl>
      <w:tblPr>
        <w:tblW w:w="9900" w:type="dxa"/>
        <w:tblInd w:w="-5" w:type="dxa"/>
        <w:tblLayout w:type="fixed"/>
        <w:tblLook w:val="0000" w:firstRow="0" w:lastRow="0" w:firstColumn="0" w:lastColumn="0" w:noHBand="0" w:noVBand="0"/>
      </w:tblPr>
      <w:tblGrid>
        <w:gridCol w:w="1728"/>
        <w:gridCol w:w="1962"/>
        <w:gridCol w:w="1080"/>
        <w:gridCol w:w="5130"/>
      </w:tblGrid>
      <w:tr w:rsidR="00692408" w:rsidRPr="00692408" w:rsidTr="00A52E60">
        <w:trPr>
          <w:trHeight w:val="647"/>
        </w:trPr>
        <w:tc>
          <w:tcPr>
            <w:tcW w:w="9900" w:type="dxa"/>
            <w:gridSpan w:val="4"/>
            <w:tcBorders>
              <w:top w:val="single" w:sz="4" w:space="0" w:color="auto"/>
              <w:left w:val="single" w:sz="4" w:space="0" w:color="auto"/>
              <w:bottom w:val="single" w:sz="4" w:space="0" w:color="auto"/>
              <w:right w:val="single" w:sz="4" w:space="0" w:color="auto"/>
            </w:tcBorders>
          </w:tcPr>
          <w:p w:rsidR="00692408" w:rsidRPr="00692408" w:rsidRDefault="00692408" w:rsidP="00692408">
            <w:pPr>
              <w:pStyle w:val="level1"/>
              <w:pBdr>
                <w:top w:val="none" w:sz="0" w:space="0" w:color="auto"/>
                <w:between w:val="none" w:sz="0" w:space="0" w:color="auto"/>
              </w:pBdr>
              <w:ind w:left="0"/>
              <w:rPr>
                <w:b w:val="0"/>
              </w:rPr>
            </w:pPr>
            <w:r w:rsidRPr="00056A6B">
              <w:t>Transportation</w:t>
            </w:r>
          </w:p>
        </w:tc>
      </w:tr>
      <w:tr w:rsidR="00056A6B" w:rsidRPr="00056A6B" w:rsidTr="00A52E60">
        <w:trPr>
          <w:cantSplit/>
          <w:trHeight w:val="57"/>
        </w:trPr>
        <w:tc>
          <w:tcPr>
            <w:tcW w:w="1728" w:type="dxa"/>
          </w:tcPr>
          <w:tbl>
            <w:tblPr>
              <w:tblpPr w:leftFromText="180" w:rightFromText="180" w:vertAnchor="text" w:horzAnchor="margin" w:tblpY="-33"/>
              <w:tblW w:w="10562" w:type="dxa"/>
              <w:tblLayout w:type="fixed"/>
              <w:tblLook w:val="0000" w:firstRow="0" w:lastRow="0" w:firstColumn="0" w:lastColumn="0" w:noHBand="0" w:noVBand="0"/>
            </w:tblPr>
            <w:tblGrid>
              <w:gridCol w:w="1791"/>
              <w:gridCol w:w="8771"/>
            </w:tblGrid>
            <w:tr w:rsidR="004C3144" w:rsidRPr="00056A6B" w:rsidTr="003719B1">
              <w:trPr>
                <w:cantSplit/>
                <w:trHeight w:val="57"/>
              </w:trPr>
              <w:tc>
                <w:tcPr>
                  <w:tcW w:w="1791" w:type="dxa"/>
                </w:tcPr>
                <w:p w:rsidR="004C3144" w:rsidRDefault="004C3144" w:rsidP="004C3144">
                  <w:pPr>
                    <w:rPr>
                      <w:b/>
                    </w:rPr>
                  </w:pPr>
                </w:p>
                <w:p w:rsidR="004C3144" w:rsidRPr="00056A6B" w:rsidRDefault="004C3144" w:rsidP="004C3144">
                  <w:pPr>
                    <w:rPr>
                      <w:b/>
                    </w:rPr>
                  </w:pPr>
                  <w:r w:rsidRPr="00056A6B">
                    <w:rPr>
                      <w:b/>
                    </w:rPr>
                    <w:t>Travel Routing</w:t>
                  </w:r>
                </w:p>
              </w:tc>
              <w:tc>
                <w:tcPr>
                  <w:tcW w:w="8771" w:type="dxa"/>
                </w:tcPr>
                <w:p w:rsidR="004C3144" w:rsidRDefault="004C3144" w:rsidP="004C3144">
                  <w:pPr>
                    <w:rPr>
                      <w:iCs/>
                    </w:rPr>
                  </w:pPr>
                </w:p>
                <w:p w:rsidR="004C3144" w:rsidRPr="00056A6B" w:rsidRDefault="004C3144" w:rsidP="004C3144">
                  <w:pPr>
                    <w:rPr>
                      <w:iCs/>
                    </w:rPr>
                  </w:pPr>
                  <w:r w:rsidRPr="00056A6B">
                    <w:rPr>
                      <w:iCs/>
                    </w:rPr>
                    <w:t>Travel routing, whether by public transportation, privately-owned vehicle, State-owned vehicle or for-hire conveyance, shall be the most direct, practicable route.</w:t>
                  </w:r>
                </w:p>
                <w:p w:rsidR="004C3144" w:rsidRPr="00056A6B" w:rsidRDefault="004C3144" w:rsidP="004C3144">
                  <w:pPr>
                    <w:rPr>
                      <w:iCs/>
                    </w:rPr>
                  </w:pPr>
                </w:p>
              </w:tc>
            </w:tr>
          </w:tbl>
          <w:p w:rsidR="00056A6B" w:rsidRPr="00056A6B" w:rsidRDefault="00056A6B" w:rsidP="001F4393">
            <w:pPr>
              <w:rPr>
                <w:b/>
              </w:rPr>
            </w:pPr>
          </w:p>
        </w:tc>
        <w:tc>
          <w:tcPr>
            <w:tcW w:w="8172" w:type="dxa"/>
            <w:gridSpan w:val="3"/>
          </w:tcPr>
          <w:p w:rsidR="004C3144" w:rsidRDefault="004C3144" w:rsidP="00843830"/>
          <w:p w:rsidR="004C3144" w:rsidRDefault="00DF7530" w:rsidP="00843830">
            <w:r w:rsidRPr="00056A6B">
              <w:rPr>
                <w:iCs/>
              </w:rPr>
              <w:t>Travel routing, whether by public transportation, privately-owned vehicle, State-owned vehicle or for-hire conveyance, shall be the most direct, practicable route.</w:t>
            </w:r>
          </w:p>
          <w:p w:rsidR="00843830" w:rsidRPr="00056A6B" w:rsidRDefault="00843830" w:rsidP="00423648"/>
        </w:tc>
      </w:tr>
      <w:tr w:rsidR="00423648" w:rsidRPr="00056A6B" w:rsidTr="00A52E60">
        <w:trPr>
          <w:cantSplit/>
          <w:trHeight w:val="1063"/>
        </w:trPr>
        <w:tc>
          <w:tcPr>
            <w:tcW w:w="1728" w:type="dxa"/>
          </w:tcPr>
          <w:p w:rsidR="00423648" w:rsidRPr="00285CD8" w:rsidRDefault="00423648" w:rsidP="00056A6B">
            <w:pPr>
              <w:rPr>
                <w:b/>
              </w:rPr>
            </w:pPr>
            <w:r>
              <w:rPr>
                <w:b/>
              </w:rPr>
              <w:t>P</w:t>
            </w:r>
            <w:r w:rsidRPr="00056A6B">
              <w:rPr>
                <w:b/>
              </w:rPr>
              <w:t xml:space="preserve">ersonally-Owned </w:t>
            </w:r>
            <w:r>
              <w:rPr>
                <w:b/>
              </w:rPr>
              <w:t>Vehicle</w:t>
            </w:r>
          </w:p>
        </w:tc>
        <w:tc>
          <w:tcPr>
            <w:tcW w:w="8172" w:type="dxa"/>
            <w:gridSpan w:val="3"/>
          </w:tcPr>
          <w:p w:rsidR="00423648" w:rsidRPr="00285CD8" w:rsidRDefault="00423648" w:rsidP="00056A6B">
            <w:r w:rsidRPr="00056A6B">
              <w:t xml:space="preserve">Employees are permitted to use their personally owned automobile vehicle when </w:t>
            </w:r>
            <w:r w:rsidR="006C4A4E">
              <w:t>the</w:t>
            </w:r>
            <w:r w:rsidRPr="00056A6B">
              <w:t xml:space="preserve"> contracted rental vehicle is not available, or when the use of a personally owned veh</w:t>
            </w:r>
            <w:r>
              <w:t>icle is cost-beneficial to the university</w:t>
            </w:r>
            <w:r w:rsidR="00454462">
              <w:t xml:space="preserve"> versus all </w:t>
            </w:r>
            <w:r w:rsidR="009012F2">
              <w:t xml:space="preserve">other </w:t>
            </w:r>
            <w:r w:rsidR="00454462">
              <w:t>travel options</w:t>
            </w:r>
            <w:r w:rsidRPr="00056A6B">
              <w:t xml:space="preserve">.  </w:t>
            </w:r>
          </w:p>
        </w:tc>
      </w:tr>
      <w:tr w:rsidR="001C3BFA" w:rsidRPr="00056A6B" w:rsidTr="00A52E60">
        <w:trPr>
          <w:cantSplit/>
          <w:trHeight w:val="1063"/>
        </w:trPr>
        <w:tc>
          <w:tcPr>
            <w:tcW w:w="1728" w:type="dxa"/>
          </w:tcPr>
          <w:p w:rsidR="001C3BFA" w:rsidRPr="00285CD8" w:rsidRDefault="001C3BFA" w:rsidP="000C630E">
            <w:pPr>
              <w:rPr>
                <w:b/>
              </w:rPr>
            </w:pPr>
            <w:r w:rsidRPr="00285CD8">
              <w:rPr>
                <w:b/>
              </w:rPr>
              <w:t>Mileage Rates</w:t>
            </w:r>
          </w:p>
        </w:tc>
        <w:tc>
          <w:tcPr>
            <w:tcW w:w="8172" w:type="dxa"/>
            <w:gridSpan w:val="3"/>
          </w:tcPr>
          <w:p w:rsidR="001C3BFA" w:rsidRPr="00285CD8" w:rsidRDefault="001C3BFA" w:rsidP="000C630E">
            <w:r w:rsidRPr="00285CD8">
              <w:t xml:space="preserve">VCU reimburses at the current Standard Mileage Rate established by the IRS. </w:t>
            </w:r>
          </w:p>
          <w:p w:rsidR="001C3BFA" w:rsidRPr="00285CD8" w:rsidRDefault="00682121" w:rsidP="000C630E">
            <w:hyperlink r:id="rId11" w:tooltip="https://www.irs.gov/tax-professionals/standard-mileage-rates" w:history="1">
              <w:r w:rsidR="007C18B4">
                <w:rPr>
                  <w:rStyle w:val="Hyperlink"/>
                </w:rPr>
                <w:t>https://www.irs.gov/tax-professionals/standard-mileage-rates</w:t>
              </w:r>
            </w:hyperlink>
            <w:r w:rsidR="001C3BFA" w:rsidRPr="00285CD8">
              <w:t xml:space="preserve"> </w:t>
            </w:r>
          </w:p>
          <w:p w:rsidR="001C3BFA" w:rsidRPr="00285CD8" w:rsidRDefault="001C3BFA" w:rsidP="000C630E"/>
          <w:p w:rsidR="001C3BFA" w:rsidRDefault="001C3BFA" w:rsidP="000C630E">
            <w:r w:rsidRPr="00285CD8">
              <w:t xml:space="preserve">Travelers are encouraged to use the Chrome River mileage widget powered by Google Maps. This will ensure the origination and destination addresses are documented as required. </w:t>
            </w:r>
          </w:p>
          <w:p w:rsidR="006C4A4E" w:rsidRPr="00285CD8" w:rsidRDefault="006C4A4E" w:rsidP="000C630E"/>
        </w:tc>
      </w:tr>
      <w:tr w:rsidR="001C3BFA" w:rsidRPr="00056A6B" w:rsidTr="00A52E60">
        <w:trPr>
          <w:cantSplit/>
          <w:trHeight w:val="1063"/>
        </w:trPr>
        <w:tc>
          <w:tcPr>
            <w:tcW w:w="1728" w:type="dxa"/>
          </w:tcPr>
          <w:p w:rsidR="001C3BFA" w:rsidRPr="00C51DDC" w:rsidRDefault="001C3BFA" w:rsidP="001C3BFA">
            <w:pPr>
              <w:rPr>
                <w:b/>
              </w:rPr>
            </w:pPr>
            <w:r w:rsidRPr="00C51DDC">
              <w:rPr>
                <w:b/>
              </w:rPr>
              <w:lastRenderedPageBreak/>
              <w:t xml:space="preserve">Air </w:t>
            </w:r>
            <w:r>
              <w:rPr>
                <w:b/>
              </w:rPr>
              <w:t xml:space="preserve">&amp; Rail </w:t>
            </w:r>
            <w:r w:rsidRPr="00C51DDC">
              <w:rPr>
                <w:b/>
              </w:rPr>
              <w:t>Tickets</w:t>
            </w:r>
          </w:p>
          <w:p w:rsidR="001C3BFA" w:rsidRPr="00C51DDC" w:rsidRDefault="001C3BFA" w:rsidP="001C3BFA">
            <w:pPr>
              <w:rPr>
                <w:b/>
              </w:rPr>
            </w:pPr>
          </w:p>
          <w:p w:rsidR="001C3BFA" w:rsidRDefault="001C3BFA" w:rsidP="00056A6B">
            <w:pPr>
              <w:rPr>
                <w:b/>
              </w:rPr>
            </w:pPr>
          </w:p>
        </w:tc>
        <w:tc>
          <w:tcPr>
            <w:tcW w:w="8172" w:type="dxa"/>
            <w:gridSpan w:val="3"/>
          </w:tcPr>
          <w:p w:rsidR="001C3BFA" w:rsidRDefault="001C3BFA" w:rsidP="00384328">
            <w:pPr>
              <w:jc w:val="both"/>
            </w:pPr>
            <w:r w:rsidRPr="00336C52">
              <w:t xml:space="preserve">VCU faculty and staff are required to book </w:t>
            </w:r>
            <w:r w:rsidR="00872458">
              <w:t xml:space="preserve">all </w:t>
            </w:r>
            <w:r w:rsidRPr="00336C52">
              <w:t xml:space="preserve">air and rail tickets </w:t>
            </w:r>
            <w:r w:rsidR="006C4A4E" w:rsidRPr="00336C52">
              <w:t xml:space="preserve">through </w:t>
            </w:r>
            <w:r w:rsidR="00384328">
              <w:rPr>
                <w:b/>
              </w:rPr>
              <w:t xml:space="preserve">Collegiate Travel </w:t>
            </w:r>
            <w:r w:rsidR="00384328" w:rsidRPr="00384328">
              <w:rPr>
                <w:b/>
              </w:rPr>
              <w:t>Planners</w:t>
            </w:r>
            <w:r w:rsidR="00384328">
              <w:t xml:space="preserve">, our </w:t>
            </w:r>
            <w:r w:rsidR="006C4A4E" w:rsidRPr="00384328">
              <w:t>mandatory</w:t>
            </w:r>
            <w:r w:rsidR="006C4A4E">
              <w:t xml:space="preserve"> travel management company</w:t>
            </w:r>
            <w:r w:rsidR="006A710C">
              <w:t>,</w:t>
            </w:r>
            <w:r w:rsidR="00872458">
              <w:t xml:space="preserve"> </w:t>
            </w:r>
            <w:r w:rsidR="006C4A4E">
              <w:t>when traveling</w:t>
            </w:r>
            <w:r w:rsidR="006C4A4E" w:rsidRPr="00336C52">
              <w:t xml:space="preserve"> </w:t>
            </w:r>
            <w:r w:rsidRPr="00336C52">
              <w:t xml:space="preserve">for official business </w:t>
            </w:r>
            <w:r w:rsidR="006C4A4E">
              <w:t xml:space="preserve">and </w:t>
            </w:r>
            <w:r w:rsidRPr="00336C52">
              <w:t>using University funds</w:t>
            </w:r>
            <w:r w:rsidR="006C4A4E">
              <w:t>.</w:t>
            </w:r>
          </w:p>
          <w:p w:rsidR="001C3BFA" w:rsidRDefault="001C3BFA" w:rsidP="001C3BFA"/>
          <w:p w:rsidR="001C3BFA" w:rsidRDefault="001C3BFA" w:rsidP="001C3BFA">
            <w:r>
              <w:t xml:space="preserve">Generally, airline &amp; rail travel cannot exceed the rates charged for coach class accommodations.  </w:t>
            </w:r>
            <w:r w:rsidRPr="0074777B">
              <w:t xml:space="preserve">The Authorized Approver may grant permission for above economy class travel </w:t>
            </w:r>
            <w:r>
              <w:t>when:</w:t>
            </w:r>
          </w:p>
          <w:p w:rsidR="001C3BFA" w:rsidRDefault="001C3BFA" w:rsidP="001C3BFA">
            <w:pPr>
              <w:numPr>
                <w:ilvl w:val="0"/>
                <w:numId w:val="43"/>
              </w:numPr>
            </w:pPr>
            <w:r>
              <w:t xml:space="preserve">Trips with an international destination, the international air/rail segments may be business class </w:t>
            </w:r>
            <w:r w:rsidR="00872458">
              <w:t>while</w:t>
            </w:r>
            <w:r>
              <w:t xml:space="preserve"> domestic segments air/rail must be economy/coach. </w:t>
            </w:r>
          </w:p>
          <w:p w:rsidR="001C3BFA" w:rsidRPr="00336C52" w:rsidRDefault="001C3BFA" w:rsidP="001C3BFA">
            <w:pPr>
              <w:jc w:val="center"/>
              <w:rPr>
                <w:b/>
                <w:i/>
                <w:u w:val="single"/>
              </w:rPr>
            </w:pPr>
            <w:r w:rsidRPr="00336C52">
              <w:rPr>
                <w:b/>
                <w:i/>
                <w:u w:val="single"/>
              </w:rPr>
              <w:t>OR</w:t>
            </w:r>
          </w:p>
          <w:p w:rsidR="001C3BFA" w:rsidRDefault="001C3BFA" w:rsidP="001C3BFA">
            <w:pPr>
              <w:numPr>
                <w:ilvl w:val="0"/>
                <w:numId w:val="38"/>
              </w:numPr>
            </w:pPr>
            <w:r w:rsidRPr="00336C52">
              <w:t>When Business class does not cost more than the lowest available coach fare</w:t>
            </w:r>
            <w:r>
              <w:t>.</w:t>
            </w:r>
            <w:r w:rsidRPr="00336C52">
              <w:t xml:space="preserve"> </w:t>
            </w:r>
          </w:p>
          <w:p w:rsidR="004118A2" w:rsidRDefault="004118A2" w:rsidP="004118A2"/>
          <w:p w:rsidR="004118A2" w:rsidRPr="004118A2" w:rsidRDefault="00CE34C2" w:rsidP="00CE34C2">
            <w:pPr>
              <w:jc w:val="both"/>
              <w:rPr>
                <w:i/>
              </w:rPr>
            </w:pPr>
            <w:r>
              <w:rPr>
                <w:i/>
              </w:rPr>
              <w:t>Upgrades and overages are allowed on local funds if approved by the department. First Class and luxury</w:t>
            </w:r>
            <w:r w:rsidR="00872458">
              <w:rPr>
                <w:i/>
              </w:rPr>
              <w:t xml:space="preserve"> class</w:t>
            </w:r>
            <w:r>
              <w:rPr>
                <w:i/>
              </w:rPr>
              <w:t xml:space="preserve"> upgrades are </w:t>
            </w:r>
            <w:r w:rsidRPr="00872458">
              <w:rPr>
                <w:i/>
                <w:u w:val="single"/>
              </w:rPr>
              <w:t>not</w:t>
            </w:r>
            <w:r>
              <w:rPr>
                <w:i/>
              </w:rPr>
              <w:t xml:space="preserve"> allowed and will require VP approval.</w:t>
            </w:r>
          </w:p>
          <w:p w:rsidR="001C3BFA" w:rsidRPr="00056A6B" w:rsidRDefault="001C3BFA" w:rsidP="00056A6B"/>
        </w:tc>
      </w:tr>
      <w:tr w:rsidR="001C3BFA" w:rsidRPr="00056A6B" w:rsidTr="00A52E60">
        <w:trPr>
          <w:cantSplit/>
          <w:trHeight w:val="1063"/>
        </w:trPr>
        <w:tc>
          <w:tcPr>
            <w:tcW w:w="1728" w:type="dxa"/>
          </w:tcPr>
          <w:p w:rsidR="001C3BFA" w:rsidRPr="00C51DDC" w:rsidRDefault="001C3BFA" w:rsidP="001C3BFA">
            <w:pPr>
              <w:rPr>
                <w:b/>
              </w:rPr>
            </w:pPr>
            <w:r>
              <w:rPr>
                <w:b/>
              </w:rPr>
              <w:t>Change Fees</w:t>
            </w:r>
          </w:p>
          <w:p w:rsidR="001C3BFA" w:rsidRPr="00C51DDC" w:rsidRDefault="001C3BFA" w:rsidP="001C3BFA">
            <w:pPr>
              <w:rPr>
                <w:b/>
              </w:rPr>
            </w:pPr>
          </w:p>
        </w:tc>
        <w:tc>
          <w:tcPr>
            <w:tcW w:w="8172" w:type="dxa"/>
            <w:gridSpan w:val="3"/>
          </w:tcPr>
          <w:p w:rsidR="001C3BFA" w:rsidRPr="00336C52" w:rsidRDefault="001C3BFA" w:rsidP="001C3BFA">
            <w:r w:rsidRPr="00056A6B">
              <w:t xml:space="preserve">Charges for changes to tickets/reservations to accommodate personal comfort, convenience and taste are </w:t>
            </w:r>
            <w:r w:rsidRPr="00056A6B">
              <w:rPr>
                <w:u w:val="single"/>
              </w:rPr>
              <w:t>not</w:t>
            </w:r>
            <w:r w:rsidRPr="00056A6B">
              <w:t xml:space="preserve"> reimbursable.  Change fees must be fully</w:t>
            </w:r>
            <w:r>
              <w:t xml:space="preserve"> explained</w:t>
            </w:r>
          </w:p>
        </w:tc>
      </w:tr>
      <w:tr w:rsidR="001C3BFA" w:rsidRPr="00056A6B" w:rsidTr="00A52E60">
        <w:trPr>
          <w:cantSplit/>
          <w:trHeight w:val="666"/>
        </w:trPr>
        <w:tc>
          <w:tcPr>
            <w:tcW w:w="1728" w:type="dxa"/>
          </w:tcPr>
          <w:p w:rsidR="001C3BFA" w:rsidRPr="00C51DDC" w:rsidRDefault="001C3BFA" w:rsidP="001C3BFA">
            <w:pPr>
              <w:rPr>
                <w:b/>
              </w:rPr>
            </w:pPr>
            <w:r>
              <w:rPr>
                <w:b/>
              </w:rPr>
              <w:t>Baggage Fees</w:t>
            </w:r>
          </w:p>
        </w:tc>
        <w:tc>
          <w:tcPr>
            <w:tcW w:w="8172" w:type="dxa"/>
            <w:gridSpan w:val="3"/>
          </w:tcPr>
          <w:p w:rsidR="001C3BFA" w:rsidRDefault="001C3BFA" w:rsidP="001C3BFA">
            <w:r>
              <w:t>Charges for check</w:t>
            </w:r>
            <w:r w:rsidR="00E242A3">
              <w:t>ed</w:t>
            </w:r>
            <w:r>
              <w:t xml:space="preserve"> bags on a flight are reimbursable. Charges of $75 or more must be fully explained. </w:t>
            </w:r>
          </w:p>
          <w:p w:rsidR="00882812" w:rsidRPr="00336C52" w:rsidRDefault="00882812" w:rsidP="001C3BFA"/>
        </w:tc>
      </w:tr>
      <w:tr w:rsidR="00692408" w:rsidRPr="00056A6B" w:rsidTr="00A52E60">
        <w:trPr>
          <w:cantSplit/>
          <w:trHeight w:val="666"/>
        </w:trPr>
        <w:tc>
          <w:tcPr>
            <w:tcW w:w="1728" w:type="dxa"/>
          </w:tcPr>
          <w:p w:rsidR="00692408" w:rsidRPr="00056A6B" w:rsidRDefault="00692408" w:rsidP="00692408">
            <w:pPr>
              <w:rPr>
                <w:b/>
              </w:rPr>
            </w:pPr>
            <w:r>
              <w:rPr>
                <w:b/>
              </w:rPr>
              <w:t>Vehicle</w:t>
            </w:r>
            <w:r w:rsidRPr="00056A6B">
              <w:rPr>
                <w:b/>
              </w:rPr>
              <w:t xml:space="preserve"> Rental</w:t>
            </w:r>
          </w:p>
        </w:tc>
        <w:tc>
          <w:tcPr>
            <w:tcW w:w="8172" w:type="dxa"/>
            <w:gridSpan w:val="3"/>
          </w:tcPr>
          <w:p w:rsidR="00692408" w:rsidRDefault="00692408" w:rsidP="00692408">
            <w:r>
              <w:t xml:space="preserve">Vehicle </w:t>
            </w:r>
            <w:r w:rsidRPr="00056A6B">
              <w:t xml:space="preserve">rental expenses are limited to official </w:t>
            </w:r>
            <w:r w:rsidR="0046710F">
              <w:t xml:space="preserve">University </w:t>
            </w:r>
            <w:r w:rsidRPr="00056A6B">
              <w:t xml:space="preserve">business </w:t>
            </w:r>
            <w:r w:rsidR="0046710F">
              <w:t xml:space="preserve">travel </w:t>
            </w:r>
            <w:r w:rsidRPr="00056A6B">
              <w:t xml:space="preserve">use only. </w:t>
            </w:r>
            <w:r>
              <w:t xml:space="preserve">Travelers are to utilize the Enterprise/National contract </w:t>
            </w:r>
            <w:r w:rsidR="0046710F">
              <w:t>whenever this</w:t>
            </w:r>
            <w:r w:rsidR="00882812">
              <w:t xml:space="preserve"> option is available</w:t>
            </w:r>
            <w:r>
              <w:t xml:space="preserve">. </w:t>
            </w:r>
            <w:r w:rsidRPr="00056A6B">
              <w:t xml:space="preserve">The traveler must select the most economical type of vehicle available and acquire </w:t>
            </w:r>
            <w:r>
              <w:t>the appropriate</w:t>
            </w:r>
            <w:r w:rsidRPr="00056A6B">
              <w:t xml:space="preserve"> commercial rate or government discount when the vehicle is rented. </w:t>
            </w:r>
            <w:r w:rsidR="0046710F">
              <w:t>Travelers must provide the university contract number (XZ21184) in order to receive all contractual benefits.</w:t>
            </w:r>
          </w:p>
          <w:p w:rsidR="00882812" w:rsidRPr="00565A36" w:rsidRDefault="00882812" w:rsidP="00692408"/>
        </w:tc>
      </w:tr>
      <w:tr w:rsidR="00692408" w:rsidRPr="00056A6B" w:rsidTr="00A52E60">
        <w:trPr>
          <w:cantSplit/>
          <w:trHeight w:val="666"/>
        </w:trPr>
        <w:tc>
          <w:tcPr>
            <w:tcW w:w="1728" w:type="dxa"/>
          </w:tcPr>
          <w:p w:rsidR="00692408" w:rsidRPr="00056A6B" w:rsidRDefault="00692408" w:rsidP="00692408">
            <w:pPr>
              <w:rPr>
                <w:b/>
              </w:rPr>
            </w:pPr>
            <w:r w:rsidRPr="00056A6B">
              <w:rPr>
                <w:b/>
              </w:rPr>
              <w:t>Rental Insurance</w:t>
            </w:r>
          </w:p>
        </w:tc>
        <w:tc>
          <w:tcPr>
            <w:tcW w:w="8172" w:type="dxa"/>
            <w:gridSpan w:val="3"/>
          </w:tcPr>
          <w:p w:rsidR="00692408" w:rsidRPr="00056A6B" w:rsidRDefault="00692408" w:rsidP="00692408">
            <w:r w:rsidRPr="00056A6B">
              <w:t>The option to purchase insurance</w:t>
            </w:r>
            <w:r w:rsidR="0046710F">
              <w:t xml:space="preserve"> (including LDW/CDW)</w:t>
            </w:r>
            <w:r w:rsidRPr="00056A6B">
              <w:t xml:space="preserve"> offered by rental car contractor</w:t>
            </w:r>
            <w:r w:rsidR="00371207">
              <w:t>s</w:t>
            </w:r>
            <w:r w:rsidRPr="00056A6B">
              <w:t xml:space="preserve"> depends upon the following circumstances:</w:t>
            </w:r>
          </w:p>
        </w:tc>
      </w:tr>
      <w:tr w:rsidR="008F50FB" w:rsidRPr="00056A6B" w:rsidTr="00A52E60">
        <w:trPr>
          <w:cantSplit/>
          <w:trHeight w:val="140"/>
        </w:trPr>
        <w:tc>
          <w:tcPr>
            <w:tcW w:w="1728" w:type="dxa"/>
            <w:vMerge w:val="restart"/>
          </w:tcPr>
          <w:p w:rsidR="008F50FB" w:rsidRPr="00056A6B" w:rsidRDefault="008F50FB" w:rsidP="008F50FB">
            <w:pPr>
              <w:rPr>
                <w:b/>
              </w:rPr>
            </w:pPr>
          </w:p>
        </w:tc>
        <w:tc>
          <w:tcPr>
            <w:tcW w:w="1962" w:type="dxa"/>
            <w:shd w:val="clear" w:color="auto" w:fill="D5DCE4" w:themeFill="text2" w:themeFillTint="33"/>
          </w:tcPr>
          <w:p w:rsidR="008F50FB" w:rsidRPr="00EA4B81" w:rsidRDefault="008F50FB" w:rsidP="008F50FB">
            <w:pPr>
              <w:rPr>
                <w:b/>
              </w:rPr>
            </w:pPr>
            <w:r>
              <w:rPr>
                <w:b/>
              </w:rPr>
              <w:t>If traveler is a:</w:t>
            </w:r>
          </w:p>
        </w:tc>
        <w:tc>
          <w:tcPr>
            <w:tcW w:w="1080" w:type="dxa"/>
            <w:shd w:val="clear" w:color="auto" w:fill="D5DCE4" w:themeFill="text2" w:themeFillTint="33"/>
          </w:tcPr>
          <w:p w:rsidR="008F50FB" w:rsidRPr="00EA4B81" w:rsidRDefault="008F50FB" w:rsidP="008F50FB">
            <w:pPr>
              <w:rPr>
                <w:b/>
              </w:rPr>
            </w:pPr>
            <w:r>
              <w:rPr>
                <w:b/>
              </w:rPr>
              <w:t>T</w:t>
            </w:r>
            <w:r w:rsidRPr="00EA4B81">
              <w:rPr>
                <w:b/>
              </w:rPr>
              <w:t>hen</w:t>
            </w:r>
          </w:p>
        </w:tc>
        <w:tc>
          <w:tcPr>
            <w:tcW w:w="5130" w:type="dxa"/>
            <w:shd w:val="clear" w:color="auto" w:fill="D5DCE4" w:themeFill="text2" w:themeFillTint="33"/>
          </w:tcPr>
          <w:p w:rsidR="008F50FB" w:rsidRPr="00EA4B81" w:rsidRDefault="008F50FB" w:rsidP="008F50FB">
            <w:pPr>
              <w:rPr>
                <w:b/>
              </w:rPr>
            </w:pPr>
            <w:r w:rsidRPr="00EA4B81">
              <w:rPr>
                <w:b/>
              </w:rPr>
              <w:t>Notes</w:t>
            </w:r>
          </w:p>
        </w:tc>
      </w:tr>
      <w:tr w:rsidR="008F50FB" w:rsidRPr="00056A6B" w:rsidTr="00D562E5">
        <w:trPr>
          <w:cantSplit/>
          <w:trHeight w:val="1143"/>
        </w:trPr>
        <w:tc>
          <w:tcPr>
            <w:tcW w:w="1728" w:type="dxa"/>
            <w:vMerge/>
          </w:tcPr>
          <w:p w:rsidR="008F50FB" w:rsidRPr="00056A6B" w:rsidRDefault="008F50FB" w:rsidP="008F50FB">
            <w:pPr>
              <w:rPr>
                <w:b/>
              </w:rPr>
            </w:pPr>
          </w:p>
        </w:tc>
        <w:tc>
          <w:tcPr>
            <w:tcW w:w="1962" w:type="dxa"/>
          </w:tcPr>
          <w:p w:rsidR="008F50FB" w:rsidRPr="00056A6B" w:rsidRDefault="008F50FB" w:rsidP="008F50FB">
            <w:r w:rsidRPr="00056A6B">
              <w:rPr>
                <w:u w:val="single"/>
              </w:rPr>
              <w:t xml:space="preserve">State Employee </w:t>
            </w:r>
          </w:p>
        </w:tc>
        <w:tc>
          <w:tcPr>
            <w:tcW w:w="1080" w:type="dxa"/>
          </w:tcPr>
          <w:p w:rsidR="008F50FB" w:rsidRPr="00056A6B" w:rsidRDefault="008F50FB" w:rsidP="008F50FB">
            <w:r w:rsidRPr="00056A6B">
              <w:t>Decline</w:t>
            </w:r>
          </w:p>
        </w:tc>
        <w:tc>
          <w:tcPr>
            <w:tcW w:w="5130" w:type="dxa"/>
          </w:tcPr>
          <w:p w:rsidR="008F50FB" w:rsidRDefault="008F50FB" w:rsidP="008F50FB">
            <w:r w:rsidRPr="00056A6B">
              <w:t>The Department of Treasury, Division of Risk Management, provides a Statewide Self-Insured Automobile plan for State employees.</w:t>
            </w:r>
          </w:p>
          <w:p w:rsidR="008F50FB" w:rsidRDefault="008F50FB" w:rsidP="008F50FB"/>
          <w:p w:rsidR="008F50FB" w:rsidRPr="00056A6B" w:rsidRDefault="008F50FB" w:rsidP="008F50FB">
            <w:r w:rsidRPr="00056A6B">
              <w:t xml:space="preserve">Rental insurance will not be reimbursed.  </w:t>
            </w:r>
          </w:p>
        </w:tc>
      </w:tr>
      <w:tr w:rsidR="008F50FB" w:rsidRPr="00056A6B" w:rsidTr="00A52E60">
        <w:trPr>
          <w:cantSplit/>
          <w:trHeight w:val="137"/>
        </w:trPr>
        <w:tc>
          <w:tcPr>
            <w:tcW w:w="1728" w:type="dxa"/>
            <w:vMerge/>
          </w:tcPr>
          <w:p w:rsidR="008F50FB" w:rsidRPr="00056A6B" w:rsidRDefault="008F50FB" w:rsidP="008F50FB">
            <w:pPr>
              <w:rPr>
                <w:b/>
              </w:rPr>
            </w:pPr>
          </w:p>
        </w:tc>
        <w:tc>
          <w:tcPr>
            <w:tcW w:w="1962" w:type="dxa"/>
          </w:tcPr>
          <w:p w:rsidR="008F50FB" w:rsidRPr="00056A6B" w:rsidRDefault="008F50FB" w:rsidP="008F50FB">
            <w:r w:rsidRPr="00056A6B">
              <w:rPr>
                <w:u w:val="single"/>
              </w:rPr>
              <w:t>Non-State Employee</w:t>
            </w:r>
          </w:p>
        </w:tc>
        <w:tc>
          <w:tcPr>
            <w:tcW w:w="1080" w:type="dxa"/>
          </w:tcPr>
          <w:p w:rsidR="008F50FB" w:rsidRPr="00056A6B" w:rsidRDefault="008F50FB" w:rsidP="008F50FB">
            <w:r w:rsidRPr="00056A6B">
              <w:t>Accept</w:t>
            </w:r>
          </w:p>
        </w:tc>
        <w:tc>
          <w:tcPr>
            <w:tcW w:w="5130" w:type="dxa"/>
          </w:tcPr>
          <w:p w:rsidR="008F50FB" w:rsidRPr="00056A6B" w:rsidRDefault="008F50FB" w:rsidP="008F50FB">
            <w:r w:rsidRPr="00056A6B">
              <w:t>Liability Damage Waiver (LDW) and</w:t>
            </w:r>
            <w:r>
              <w:t xml:space="preserve"> Collision Damage Waiver (CDW)</w:t>
            </w:r>
            <w:r w:rsidRPr="00056A6B">
              <w:t xml:space="preserve"> insurance </w:t>
            </w:r>
            <w:r>
              <w:t>are</w:t>
            </w:r>
            <w:r w:rsidRPr="00056A6B">
              <w:t xml:space="preserve"> reimbursable expense</w:t>
            </w:r>
            <w:r>
              <w:t>s</w:t>
            </w:r>
            <w:r w:rsidRPr="00056A6B">
              <w:t>.</w:t>
            </w:r>
          </w:p>
        </w:tc>
      </w:tr>
      <w:tr w:rsidR="008F50FB" w:rsidRPr="00056A6B" w:rsidTr="00A52E60">
        <w:trPr>
          <w:cantSplit/>
          <w:trHeight w:val="137"/>
        </w:trPr>
        <w:tc>
          <w:tcPr>
            <w:tcW w:w="1728" w:type="dxa"/>
            <w:vMerge/>
          </w:tcPr>
          <w:p w:rsidR="008F50FB" w:rsidRPr="00056A6B" w:rsidRDefault="008F50FB" w:rsidP="008F50FB">
            <w:pPr>
              <w:rPr>
                <w:b/>
              </w:rPr>
            </w:pPr>
          </w:p>
        </w:tc>
        <w:tc>
          <w:tcPr>
            <w:tcW w:w="1962" w:type="dxa"/>
          </w:tcPr>
          <w:p w:rsidR="008F50FB" w:rsidRPr="00056A6B" w:rsidRDefault="008F50FB" w:rsidP="008F50FB">
            <w:r>
              <w:rPr>
                <w:u w:val="single"/>
              </w:rPr>
              <w:t>All International Rentals</w:t>
            </w:r>
          </w:p>
        </w:tc>
        <w:tc>
          <w:tcPr>
            <w:tcW w:w="1080" w:type="dxa"/>
          </w:tcPr>
          <w:p w:rsidR="008F50FB" w:rsidRPr="00056A6B" w:rsidRDefault="008F50FB" w:rsidP="008F50FB">
            <w:r w:rsidRPr="00056A6B">
              <w:t>Accept</w:t>
            </w:r>
          </w:p>
        </w:tc>
        <w:tc>
          <w:tcPr>
            <w:tcW w:w="5130" w:type="dxa"/>
          </w:tcPr>
          <w:p w:rsidR="008F50FB" w:rsidRDefault="008F50FB" w:rsidP="008F50FB">
            <w:r w:rsidRPr="00056A6B">
              <w:t xml:space="preserve">Individuals traveling outside of the </w:t>
            </w:r>
            <w:r>
              <w:t>contiguous 48</w:t>
            </w:r>
            <w:r w:rsidRPr="00056A6B">
              <w:t xml:space="preserve"> States </w:t>
            </w:r>
            <w:r w:rsidRPr="00056A6B">
              <w:rPr>
                <w:u w:val="single"/>
              </w:rPr>
              <w:t>are required to purchase</w:t>
            </w:r>
            <w:r w:rsidRPr="00056A6B">
              <w:t xml:space="preserve"> and will be reimbursed for LDW and CDW insurance.</w:t>
            </w:r>
            <w:r>
              <w:t xml:space="preserve"> </w:t>
            </w:r>
          </w:p>
          <w:p w:rsidR="008F50FB" w:rsidRDefault="008F50FB" w:rsidP="008F50FB"/>
          <w:p w:rsidR="008F50FB" w:rsidRDefault="008F50FB" w:rsidP="008F50FB">
            <w:r w:rsidRPr="00D562E5">
              <w:rPr>
                <w:i/>
              </w:rPr>
              <w:t>Other types of insurance offered such as trip cancellation, personal, health or life insurance are not reimbursable</w:t>
            </w:r>
            <w:r>
              <w:t>.</w:t>
            </w:r>
          </w:p>
          <w:p w:rsidR="0046710F" w:rsidRPr="00056A6B" w:rsidRDefault="0046710F" w:rsidP="008F50FB"/>
        </w:tc>
      </w:tr>
      <w:tr w:rsidR="008F50FB" w:rsidRPr="00056A6B" w:rsidTr="00A52E60">
        <w:trPr>
          <w:cantSplit/>
          <w:trHeight w:val="666"/>
        </w:trPr>
        <w:tc>
          <w:tcPr>
            <w:tcW w:w="1728" w:type="dxa"/>
          </w:tcPr>
          <w:p w:rsidR="008F50FB" w:rsidRDefault="008F50FB" w:rsidP="008F50FB">
            <w:pPr>
              <w:rPr>
                <w:b/>
              </w:rPr>
            </w:pPr>
            <w:r>
              <w:rPr>
                <w:b/>
              </w:rPr>
              <w:lastRenderedPageBreak/>
              <w:t xml:space="preserve">Vehicle </w:t>
            </w:r>
            <w:r w:rsidRPr="00056A6B">
              <w:rPr>
                <w:b/>
              </w:rPr>
              <w:t xml:space="preserve"> Refueling</w:t>
            </w:r>
          </w:p>
          <w:p w:rsidR="008F50FB" w:rsidRDefault="008F50FB" w:rsidP="008F50FB">
            <w:pPr>
              <w:rPr>
                <w:b/>
              </w:rPr>
            </w:pPr>
          </w:p>
        </w:tc>
        <w:tc>
          <w:tcPr>
            <w:tcW w:w="8172" w:type="dxa"/>
            <w:gridSpan w:val="3"/>
          </w:tcPr>
          <w:p w:rsidR="008F50FB" w:rsidRDefault="008F50FB" w:rsidP="008F50FB">
            <w:r w:rsidRPr="00056A6B">
              <w:t>Travelers must ensure that the rental vehicle is refueled before returning the vehicle to the rental contractor unless an exception is noted.  Reimbursement will be based on the fuel used and receipts provided. Travelers must never authorize prepayment for fuel as there is a potential for purchasing fuel over the amount needed and rental car vendors do not return a credit for unused fuel</w:t>
            </w:r>
            <w:r>
              <w:t>.</w:t>
            </w:r>
            <w:r w:rsidR="00E242A3">
              <w:t xml:space="preserve"> Receipts are required for reimbursements in excess of $75.00.</w:t>
            </w:r>
          </w:p>
          <w:p w:rsidR="008F50FB" w:rsidRPr="00056A6B" w:rsidRDefault="008F50FB" w:rsidP="008F50FB"/>
        </w:tc>
      </w:tr>
      <w:tr w:rsidR="008F50FB" w:rsidRPr="00056A6B" w:rsidTr="00A52E60">
        <w:trPr>
          <w:cantSplit/>
          <w:trHeight w:val="666"/>
        </w:trPr>
        <w:tc>
          <w:tcPr>
            <w:tcW w:w="1728" w:type="dxa"/>
          </w:tcPr>
          <w:p w:rsidR="008F50FB" w:rsidRDefault="008F50FB" w:rsidP="008F50FB">
            <w:pPr>
              <w:rPr>
                <w:b/>
              </w:rPr>
            </w:pPr>
            <w:r>
              <w:rPr>
                <w:b/>
              </w:rPr>
              <w:t xml:space="preserve">Optional </w:t>
            </w:r>
          </w:p>
          <w:p w:rsidR="008F50FB" w:rsidRDefault="008F50FB" w:rsidP="008F50FB">
            <w:pPr>
              <w:rPr>
                <w:b/>
              </w:rPr>
            </w:pPr>
            <w:r>
              <w:rPr>
                <w:b/>
              </w:rPr>
              <w:t>Add-ons</w:t>
            </w:r>
          </w:p>
          <w:p w:rsidR="008F50FB" w:rsidRPr="00056A6B" w:rsidRDefault="008F50FB" w:rsidP="008F50FB">
            <w:pPr>
              <w:rPr>
                <w:b/>
              </w:rPr>
            </w:pPr>
          </w:p>
        </w:tc>
        <w:tc>
          <w:tcPr>
            <w:tcW w:w="8172" w:type="dxa"/>
            <w:gridSpan w:val="3"/>
          </w:tcPr>
          <w:p w:rsidR="0046710F" w:rsidRDefault="008F50FB" w:rsidP="008F50FB">
            <w:r>
              <w:t xml:space="preserve">Proper Business justification is required for optional add-ons (GPS, toll </w:t>
            </w:r>
            <w:proofErr w:type="spellStart"/>
            <w:proofErr w:type="gramStart"/>
            <w:r>
              <w:t>passes,etc</w:t>
            </w:r>
            <w:proofErr w:type="spellEnd"/>
            <w:r>
              <w:t>.</w:t>
            </w:r>
            <w:proofErr w:type="gramEnd"/>
            <w:r>
              <w:t>)</w:t>
            </w:r>
            <w:r w:rsidR="0046710F">
              <w:t xml:space="preserve">. Enterprise/National </w:t>
            </w:r>
            <w:r w:rsidR="00A80ED8">
              <w:t>charges</w:t>
            </w:r>
            <w:r w:rsidR="000A0DFD">
              <w:t xml:space="preserve"> unpaid tolls</w:t>
            </w:r>
            <w:r w:rsidR="0046710F">
              <w:t xml:space="preserve"> to the credit card on file</w:t>
            </w:r>
            <w:r w:rsidR="0058529C">
              <w:t xml:space="preserve"> plus </w:t>
            </w:r>
            <w:r w:rsidR="00A80ED8">
              <w:t xml:space="preserve">adds </w:t>
            </w:r>
            <w:r w:rsidR="0046710F">
              <w:t>a</w:t>
            </w:r>
            <w:r w:rsidR="00A80ED8">
              <w:t>n additional</w:t>
            </w:r>
            <w:r w:rsidR="0046710F">
              <w:t xml:space="preserve"> </w:t>
            </w:r>
            <w:r w:rsidR="000A0DFD">
              <w:t xml:space="preserve">one-time </w:t>
            </w:r>
            <w:r w:rsidR="0046710F">
              <w:t>fee</w:t>
            </w:r>
            <w:r w:rsidR="000A0DFD">
              <w:t xml:space="preserve"> for this service</w:t>
            </w:r>
            <w:r w:rsidR="0046710F">
              <w:t>.</w:t>
            </w:r>
            <w:r w:rsidR="000A0DFD">
              <w:t xml:space="preserve"> </w:t>
            </w:r>
          </w:p>
          <w:p w:rsidR="008F50FB" w:rsidRPr="00056A6B" w:rsidRDefault="0046710F" w:rsidP="008F50FB">
            <w:r>
              <w:t xml:space="preserve"> </w:t>
            </w:r>
          </w:p>
        </w:tc>
      </w:tr>
      <w:tr w:rsidR="008F50FB" w:rsidRPr="00056A6B" w:rsidTr="00A52E60">
        <w:trPr>
          <w:cantSplit/>
          <w:trHeight w:val="666"/>
        </w:trPr>
        <w:tc>
          <w:tcPr>
            <w:tcW w:w="1728" w:type="dxa"/>
          </w:tcPr>
          <w:p w:rsidR="008F50FB" w:rsidRDefault="008F50FB" w:rsidP="008F50FB">
            <w:pPr>
              <w:rPr>
                <w:b/>
              </w:rPr>
            </w:pPr>
            <w:r>
              <w:rPr>
                <w:b/>
              </w:rPr>
              <w:t>Tolls &amp; Parking</w:t>
            </w:r>
          </w:p>
          <w:p w:rsidR="008F50FB" w:rsidRDefault="008F50FB" w:rsidP="008F50FB">
            <w:pPr>
              <w:rPr>
                <w:b/>
              </w:rPr>
            </w:pPr>
          </w:p>
        </w:tc>
        <w:tc>
          <w:tcPr>
            <w:tcW w:w="8172" w:type="dxa"/>
            <w:gridSpan w:val="3"/>
          </w:tcPr>
          <w:p w:rsidR="008F50FB" w:rsidRDefault="008F50FB" w:rsidP="008F50FB">
            <w:pPr>
              <w:pStyle w:val="BlockText"/>
            </w:pPr>
            <w:r>
              <w:t>Receipts are required for any individual claim of $75.00 or more.</w:t>
            </w:r>
            <w:r w:rsidR="001C27BE">
              <w:t xml:space="preserve"> GPS, </w:t>
            </w:r>
            <w:r w:rsidR="006A710C">
              <w:t>EZ Pass/</w:t>
            </w:r>
            <w:r w:rsidR="001C27BE">
              <w:t>Tolls pass rental charges must be placed on local funds.</w:t>
            </w:r>
          </w:p>
          <w:p w:rsidR="008F50FB" w:rsidRPr="00056A6B" w:rsidRDefault="008F50FB" w:rsidP="008F50FB"/>
        </w:tc>
      </w:tr>
      <w:tr w:rsidR="008F50FB" w:rsidRPr="00056A6B" w:rsidTr="00A52E60">
        <w:trPr>
          <w:cantSplit/>
          <w:trHeight w:val="666"/>
        </w:trPr>
        <w:tc>
          <w:tcPr>
            <w:tcW w:w="1728" w:type="dxa"/>
          </w:tcPr>
          <w:p w:rsidR="000A0DFD" w:rsidRDefault="000A0DFD" w:rsidP="008F50FB">
            <w:pPr>
              <w:ind w:right="-108"/>
              <w:rPr>
                <w:b/>
              </w:rPr>
            </w:pPr>
          </w:p>
          <w:p w:rsidR="008F50FB" w:rsidRPr="006560EE" w:rsidRDefault="008F50FB" w:rsidP="008F50FB">
            <w:pPr>
              <w:ind w:right="-108"/>
              <w:rPr>
                <w:b/>
              </w:rPr>
            </w:pPr>
            <w:r w:rsidRPr="006560EE">
              <w:rPr>
                <w:b/>
              </w:rPr>
              <w:t>Ground Transportation</w:t>
            </w:r>
          </w:p>
          <w:p w:rsidR="008F50FB" w:rsidRPr="00C114E9" w:rsidRDefault="008F50FB" w:rsidP="008F50FB">
            <w:pPr>
              <w:ind w:right="-108"/>
              <w:rPr>
                <w:b/>
                <w:highlight w:val="yellow"/>
              </w:rPr>
            </w:pPr>
          </w:p>
        </w:tc>
        <w:tc>
          <w:tcPr>
            <w:tcW w:w="8172" w:type="dxa"/>
            <w:gridSpan w:val="3"/>
          </w:tcPr>
          <w:p w:rsidR="000A0DFD" w:rsidRDefault="000A0DFD" w:rsidP="006560EE">
            <w:pPr>
              <w:shd w:val="clear" w:color="auto" w:fill="FFFFFF"/>
            </w:pPr>
          </w:p>
          <w:p w:rsidR="006560EE" w:rsidRPr="00A67F35" w:rsidRDefault="006560EE" w:rsidP="006560EE">
            <w:pPr>
              <w:shd w:val="clear" w:color="auto" w:fill="FFFFFF"/>
            </w:pPr>
            <w:r w:rsidRPr="00A67F35">
              <w:t>Public transportation such as city metro services, taxis and shuttle services such as Lyft and Uber, and similar services are allowable for VCU official business travel, except as noted below. Receipts are required for reimbursements requests in excess of $75.00.</w:t>
            </w:r>
          </w:p>
          <w:p w:rsidR="006560EE" w:rsidRPr="00A67F35" w:rsidRDefault="006560EE" w:rsidP="006560EE">
            <w:pPr>
              <w:shd w:val="clear" w:color="auto" w:fill="FFFFFF"/>
            </w:pPr>
          </w:p>
          <w:p w:rsidR="008F50FB" w:rsidRPr="00A67F35" w:rsidRDefault="006560EE" w:rsidP="006560EE">
            <w:pPr>
              <w:shd w:val="clear" w:color="auto" w:fill="FFFFFF"/>
            </w:pPr>
            <w:r w:rsidRPr="00A67F35">
              <w:t xml:space="preserve">Any transportation costs for travel between and within the MPC and MCV campuses, and parking fees at VCU owned or occupied spaces are not reimbursable. </w:t>
            </w:r>
          </w:p>
          <w:p w:rsidR="00A67F35" w:rsidRPr="00A67F35" w:rsidRDefault="00A67F35" w:rsidP="006560EE">
            <w:pPr>
              <w:shd w:val="clear" w:color="auto" w:fill="FFFFFF"/>
              <w:rPr>
                <w:highlight w:val="yellow"/>
              </w:rPr>
            </w:pPr>
          </w:p>
        </w:tc>
      </w:tr>
      <w:tr w:rsidR="008F50FB" w:rsidRPr="00056A6B" w:rsidTr="00A52E60">
        <w:trPr>
          <w:cantSplit/>
          <w:trHeight w:val="666"/>
        </w:trPr>
        <w:tc>
          <w:tcPr>
            <w:tcW w:w="1728" w:type="dxa"/>
          </w:tcPr>
          <w:p w:rsidR="00371207" w:rsidRDefault="008F50FB" w:rsidP="008F50FB">
            <w:pPr>
              <w:ind w:right="-108"/>
              <w:rPr>
                <w:b/>
              </w:rPr>
            </w:pPr>
            <w:r w:rsidRPr="00371EB2">
              <w:rPr>
                <w:b/>
              </w:rPr>
              <w:t xml:space="preserve">Mileage </w:t>
            </w:r>
            <w:r>
              <w:rPr>
                <w:b/>
              </w:rPr>
              <w:t>vs.</w:t>
            </w:r>
            <w:r w:rsidRPr="00371EB2">
              <w:rPr>
                <w:b/>
              </w:rPr>
              <w:t xml:space="preserve"> </w:t>
            </w:r>
            <w:r w:rsidR="000A0DFD">
              <w:rPr>
                <w:b/>
              </w:rPr>
              <w:t xml:space="preserve">Other </w:t>
            </w:r>
            <w:r w:rsidR="00371207" w:rsidRPr="006560EE">
              <w:rPr>
                <w:b/>
              </w:rPr>
              <w:t>Transportation</w:t>
            </w:r>
          </w:p>
          <w:p w:rsidR="008F50FB" w:rsidRDefault="00371207" w:rsidP="008F50FB">
            <w:pPr>
              <w:ind w:right="-108"/>
              <w:rPr>
                <w:b/>
              </w:rPr>
            </w:pPr>
            <w:r>
              <w:rPr>
                <w:b/>
              </w:rPr>
              <w:t xml:space="preserve">Options </w:t>
            </w:r>
          </w:p>
        </w:tc>
        <w:tc>
          <w:tcPr>
            <w:tcW w:w="8172" w:type="dxa"/>
            <w:gridSpan w:val="3"/>
          </w:tcPr>
          <w:p w:rsidR="008F50FB" w:rsidRDefault="00626E8F" w:rsidP="00FD2E0D">
            <w:pPr>
              <w:jc w:val="both"/>
            </w:pPr>
            <w:r>
              <w:t xml:space="preserve">VCU reimburses mileage at the rate established by the IRS. </w:t>
            </w:r>
            <w:r w:rsidR="008F50FB">
              <w:t xml:space="preserve">When travel is by personally-owned </w:t>
            </w:r>
            <w:r w:rsidR="000A0DFD">
              <w:t>vehicle</w:t>
            </w:r>
            <w:r w:rsidR="008F50FB">
              <w:t xml:space="preserve">, the total </w:t>
            </w:r>
            <w:r w:rsidR="000A0DFD">
              <w:t xml:space="preserve">cost </w:t>
            </w:r>
            <w:r w:rsidR="008F50FB">
              <w:t xml:space="preserve">of the </w:t>
            </w:r>
            <w:r w:rsidR="000A0DFD">
              <w:t>mileage</w:t>
            </w:r>
            <w:r w:rsidR="008F50FB">
              <w:t xml:space="preserve"> reimbursed</w:t>
            </w:r>
            <w:r w:rsidR="000A0DFD">
              <w:t xml:space="preserve"> </w:t>
            </w:r>
            <w:r w:rsidR="008F50FB">
              <w:t xml:space="preserve">should not exceed the total cost using the most economical transportation </w:t>
            </w:r>
            <w:r w:rsidR="00371207">
              <w:t xml:space="preserve">method </w:t>
            </w:r>
            <w:r w:rsidR="008F50FB">
              <w:t>available</w:t>
            </w:r>
            <w:r w:rsidR="000A0DFD">
              <w:t xml:space="preserve"> (air, rail or rental car)</w:t>
            </w:r>
            <w:r w:rsidR="008F50FB">
              <w:t xml:space="preserve">. Authorized Approvers </w:t>
            </w:r>
            <w:r w:rsidR="00371207">
              <w:t>may</w:t>
            </w:r>
            <w:r w:rsidR="008F50FB">
              <w:t xml:space="preserve"> grant </w:t>
            </w:r>
            <w:r w:rsidR="00371207">
              <w:t xml:space="preserve">an </w:t>
            </w:r>
            <w:r w:rsidR="008F50FB">
              <w:t xml:space="preserve">exception to this policy when justified. Comparative statements </w:t>
            </w:r>
            <w:r w:rsidR="00371207">
              <w:t>must</w:t>
            </w:r>
            <w:r w:rsidR="008F50FB">
              <w:t xml:space="preserve"> be attached to the travel voucher for reimbursement.</w:t>
            </w:r>
          </w:p>
          <w:p w:rsidR="008F50FB" w:rsidRDefault="008F50FB" w:rsidP="008F50FB"/>
        </w:tc>
      </w:tr>
      <w:tr w:rsidR="008F50FB" w:rsidRPr="00056A6B" w:rsidTr="00A52E60">
        <w:trPr>
          <w:cantSplit/>
          <w:trHeight w:val="666"/>
        </w:trPr>
        <w:tc>
          <w:tcPr>
            <w:tcW w:w="1728" w:type="dxa"/>
          </w:tcPr>
          <w:p w:rsidR="008F50FB" w:rsidRPr="00056A6B" w:rsidRDefault="008F50FB" w:rsidP="008F50FB">
            <w:pPr>
              <w:rPr>
                <w:b/>
              </w:rPr>
            </w:pPr>
            <w:r w:rsidRPr="00C51DDC">
              <w:rPr>
                <w:b/>
              </w:rPr>
              <w:t>Personal Use Aircraft</w:t>
            </w:r>
          </w:p>
        </w:tc>
        <w:tc>
          <w:tcPr>
            <w:tcW w:w="8172" w:type="dxa"/>
            <w:gridSpan w:val="3"/>
          </w:tcPr>
          <w:p w:rsidR="008F50FB" w:rsidRDefault="008F50FB" w:rsidP="008F50FB">
            <w:r>
              <w:t xml:space="preserve">The use of personal aircraft is permitted for official state travel with the prior approval of the President or Designee.  Documentation of comparable costs for other travel means must be included in the reimbursement request. The reimbursement shall be limited to the most economical means of travel available at that time. Please contact </w:t>
            </w:r>
            <w:hyperlink r:id="rId12" w:history="1">
              <w:r w:rsidRPr="008321B1">
                <w:rPr>
                  <w:rStyle w:val="Hyperlink"/>
                </w:rPr>
                <w:t>travel@vcu.edu</w:t>
              </w:r>
            </w:hyperlink>
            <w:r>
              <w:t xml:space="preserve"> for further guidance and instructions.</w:t>
            </w:r>
          </w:p>
          <w:p w:rsidR="00371207" w:rsidRPr="001B7870" w:rsidRDefault="00371207" w:rsidP="008F50FB"/>
        </w:tc>
      </w:tr>
      <w:tr w:rsidR="008F50FB" w:rsidRPr="00056A6B" w:rsidTr="00A52E60">
        <w:trPr>
          <w:cantSplit/>
          <w:trHeight w:val="666"/>
        </w:trPr>
        <w:tc>
          <w:tcPr>
            <w:tcW w:w="1728" w:type="dxa"/>
          </w:tcPr>
          <w:p w:rsidR="008F50FB" w:rsidRPr="00C51DDC" w:rsidRDefault="008F50FB" w:rsidP="008F50FB">
            <w:pPr>
              <w:rPr>
                <w:b/>
              </w:rPr>
            </w:pPr>
            <w:r w:rsidRPr="00C51DDC">
              <w:rPr>
                <w:b/>
              </w:rPr>
              <w:t>State-Owned Aircraft</w:t>
            </w:r>
          </w:p>
        </w:tc>
        <w:tc>
          <w:tcPr>
            <w:tcW w:w="8172" w:type="dxa"/>
            <w:gridSpan w:val="3"/>
          </w:tcPr>
          <w:p w:rsidR="008F50FB" w:rsidRDefault="008F50FB" w:rsidP="008F50FB">
            <w:r>
              <w:t>State-owned aircraft are available on a priority basis and can be scheduled through the Department of Aviation (DOAV).  Refer to the Aircraft Use Policy and Guidelines that can be found on DOAV’s website at www.doav.virginia.gov. Costs should be compared with commercial rates to determine the best air carrier travel for State travel.</w:t>
            </w:r>
          </w:p>
        </w:tc>
      </w:tr>
    </w:tbl>
    <w:p w:rsidR="000C630E" w:rsidRPr="000C630E" w:rsidRDefault="000C630E" w:rsidP="000D0E2B">
      <w:pPr>
        <w:spacing w:after="720"/>
        <w:rPr>
          <w:vanish/>
        </w:rPr>
      </w:pPr>
    </w:p>
    <w:p w:rsidR="00C51DDC" w:rsidRPr="00056A6B" w:rsidRDefault="00C51DDC" w:rsidP="00C51DDC">
      <w:pPr>
        <w:framePr w:h="307" w:hRule="exact" w:hSpace="180" w:wrap="around" w:vAnchor="text" w:hAnchor="page" w:x="848" w:y="28"/>
      </w:pPr>
      <w:r w:rsidRPr="00056A6B">
        <w:t xml:space="preserve"> </w:t>
      </w:r>
    </w:p>
    <w:p w:rsidR="00137C62" w:rsidRDefault="00137C62">
      <w:r>
        <w:rPr>
          <w:b/>
        </w:rPr>
        <w:br w:type="page"/>
      </w:r>
    </w:p>
    <w:tbl>
      <w:tblPr>
        <w:tblW w:w="10260" w:type="dxa"/>
        <w:tblInd w:w="-5" w:type="dxa"/>
        <w:tblLayout w:type="fixed"/>
        <w:tblLook w:val="0000" w:firstRow="0" w:lastRow="0" w:firstColumn="0" w:lastColumn="0" w:noHBand="0" w:noVBand="0"/>
      </w:tblPr>
      <w:tblGrid>
        <w:gridCol w:w="1730"/>
        <w:gridCol w:w="8530"/>
      </w:tblGrid>
      <w:tr w:rsidR="008F50FB" w:rsidRPr="00692408" w:rsidTr="008F50FB">
        <w:trPr>
          <w:trHeight w:val="647"/>
        </w:trPr>
        <w:tc>
          <w:tcPr>
            <w:tcW w:w="10260" w:type="dxa"/>
            <w:gridSpan w:val="2"/>
            <w:tcBorders>
              <w:top w:val="single" w:sz="4" w:space="0" w:color="auto"/>
              <w:left w:val="single" w:sz="4" w:space="0" w:color="auto"/>
              <w:bottom w:val="single" w:sz="4" w:space="0" w:color="auto"/>
              <w:right w:val="single" w:sz="4" w:space="0" w:color="auto"/>
            </w:tcBorders>
          </w:tcPr>
          <w:p w:rsidR="008F50FB" w:rsidRPr="00692408" w:rsidRDefault="008F50FB" w:rsidP="008E2EC2">
            <w:pPr>
              <w:pStyle w:val="level1"/>
              <w:pBdr>
                <w:top w:val="none" w:sz="0" w:space="0" w:color="auto"/>
                <w:between w:val="none" w:sz="0" w:space="0" w:color="auto"/>
              </w:pBdr>
              <w:ind w:left="0"/>
              <w:rPr>
                <w:b w:val="0"/>
              </w:rPr>
            </w:pPr>
            <w:r>
              <w:lastRenderedPageBreak/>
              <w:t xml:space="preserve">Lodging </w:t>
            </w:r>
          </w:p>
        </w:tc>
      </w:tr>
      <w:tr w:rsidR="005706EB" w:rsidTr="008F50FB">
        <w:trPr>
          <w:cantSplit/>
          <w:trHeight w:val="133"/>
        </w:trPr>
        <w:tc>
          <w:tcPr>
            <w:tcW w:w="10260" w:type="dxa"/>
            <w:gridSpan w:val="2"/>
          </w:tcPr>
          <w:p w:rsidR="005706EB" w:rsidRPr="008F50FB" w:rsidRDefault="005706EB">
            <w:pPr>
              <w:pStyle w:val="BlockText"/>
              <w:numPr>
                <w:ilvl w:val="12"/>
                <w:numId w:val="0"/>
              </w:numPr>
              <w:rPr>
                <w:i/>
              </w:rPr>
            </w:pPr>
            <w:r w:rsidRPr="008F50FB">
              <w:rPr>
                <w:i/>
              </w:rPr>
              <w:t xml:space="preserve">Lodging may be reimbursed when an individual is traveling overnight on official business outside </w:t>
            </w:r>
            <w:r w:rsidR="007503C2">
              <w:rPr>
                <w:i/>
              </w:rPr>
              <w:t>their</w:t>
            </w:r>
            <w:r w:rsidRPr="008F50FB">
              <w:rPr>
                <w:i/>
              </w:rPr>
              <w:t xml:space="preserve"> official station.  Lodging expense reimbursement varies with the travel destination, but all expenditures must be necessary and reasonable.  </w:t>
            </w:r>
          </w:p>
          <w:p w:rsidR="005706EB" w:rsidRDefault="005706EB" w:rsidP="002472CF">
            <w:pPr>
              <w:pStyle w:val="BlockText"/>
              <w:numPr>
                <w:ilvl w:val="12"/>
                <w:numId w:val="0"/>
              </w:numPr>
              <w:rPr>
                <w:b/>
              </w:rPr>
            </w:pPr>
          </w:p>
        </w:tc>
      </w:tr>
      <w:tr w:rsidR="001C72A1" w:rsidTr="008F50FB">
        <w:trPr>
          <w:cantSplit/>
          <w:trHeight w:val="1791"/>
        </w:trPr>
        <w:tc>
          <w:tcPr>
            <w:tcW w:w="1730" w:type="dxa"/>
          </w:tcPr>
          <w:p w:rsidR="001C72A1" w:rsidRPr="00EE5048" w:rsidRDefault="001C72A1" w:rsidP="00A27E1D">
            <w:pPr>
              <w:pStyle w:val="level2"/>
            </w:pPr>
            <w:bookmarkStart w:id="188" w:name="_Toc461526137"/>
            <w:bookmarkStart w:id="189" w:name="_Toc461527442"/>
            <w:bookmarkStart w:id="190" w:name="_Toc461527921"/>
            <w:bookmarkStart w:id="191" w:name="_Toc461870058"/>
            <w:bookmarkStart w:id="192" w:name="_Toc480969222"/>
            <w:bookmarkStart w:id="193" w:name="_Toc480969489"/>
            <w:bookmarkStart w:id="194" w:name="_Toc480969573"/>
            <w:bookmarkStart w:id="195" w:name="_Toc480969657"/>
            <w:bookmarkStart w:id="196" w:name="_Toc480969837"/>
            <w:bookmarkStart w:id="197" w:name="_Toc481206801"/>
            <w:bookmarkStart w:id="198" w:name="_Toc482757890"/>
            <w:bookmarkStart w:id="199" w:name="_Toc482758138"/>
            <w:bookmarkStart w:id="200" w:name="_Toc483016467"/>
            <w:bookmarkStart w:id="201" w:name="_Toc483795440"/>
            <w:bookmarkStart w:id="202" w:name="_Toc483798374"/>
            <w:bookmarkStart w:id="203" w:name="_Toc15887684"/>
            <w:bookmarkStart w:id="204" w:name="_Toc15888966"/>
            <w:bookmarkStart w:id="205" w:name="_Toc15889119"/>
            <w:bookmarkStart w:id="206" w:name="_Toc15889201"/>
            <w:bookmarkStart w:id="207" w:name="_Toc15889681"/>
            <w:bookmarkStart w:id="208" w:name="_Toc15889974"/>
            <w:bookmarkStart w:id="209" w:name="_Toc15958985"/>
            <w:bookmarkStart w:id="210" w:name="_Toc19433849"/>
            <w:bookmarkStart w:id="211" w:name="_Toc20124434"/>
            <w:bookmarkStart w:id="212" w:name="_Toc85964263"/>
            <w:bookmarkStart w:id="213" w:name="_Toc85964430"/>
            <w:bookmarkStart w:id="214" w:name="_Toc202077918"/>
            <w:bookmarkStart w:id="215" w:name="_Toc215908272"/>
            <w:r w:rsidRPr="00EE5048">
              <w:t>Lodging Rates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tc>
        <w:tc>
          <w:tcPr>
            <w:tcW w:w="8530" w:type="dxa"/>
          </w:tcPr>
          <w:p w:rsidR="00CA5121" w:rsidRDefault="00F24059" w:rsidP="00CA5121">
            <w:pPr>
              <w:pStyle w:val="BlockText"/>
              <w:numPr>
                <w:ilvl w:val="12"/>
                <w:numId w:val="0"/>
              </w:numPr>
            </w:pPr>
            <w:r w:rsidRPr="003224A6">
              <w:t>Reimbursement for lodging is limited to actual expenses incurred up to</w:t>
            </w:r>
            <w:r w:rsidR="009609C7">
              <w:t xml:space="preserve"> 100% over </w:t>
            </w:r>
            <w:r w:rsidR="009609C7" w:rsidRPr="003224A6">
              <w:t>the</w:t>
            </w:r>
            <w:r w:rsidR="00A27E1D" w:rsidRPr="007E72BF">
              <w:rPr>
                <w:color w:val="000000"/>
              </w:rPr>
              <w:t xml:space="preserve"> </w:t>
            </w:r>
            <w:r w:rsidR="004B6AAA">
              <w:rPr>
                <w:color w:val="000000"/>
              </w:rPr>
              <w:t>CONUS and OCONUS rates,</w:t>
            </w:r>
            <w:r w:rsidRPr="003224A6">
              <w:t xml:space="preserve"> plus taxes and surcharges.</w:t>
            </w:r>
          </w:p>
          <w:p w:rsidR="003224A6" w:rsidRDefault="003224A6">
            <w:pPr>
              <w:pStyle w:val="BlockText"/>
              <w:numPr>
                <w:ilvl w:val="12"/>
                <w:numId w:val="0"/>
              </w:numPr>
            </w:pPr>
          </w:p>
          <w:p w:rsidR="003224A6" w:rsidRDefault="009609C7">
            <w:pPr>
              <w:pStyle w:val="BlockText"/>
              <w:numPr>
                <w:ilvl w:val="12"/>
                <w:numId w:val="0"/>
              </w:numPr>
            </w:pPr>
            <w:r>
              <w:t>CONUS and OCONUS rate tables</w:t>
            </w:r>
          </w:p>
          <w:p w:rsidR="00971EDD" w:rsidRDefault="00682121" w:rsidP="00CA5121">
            <w:pPr>
              <w:pStyle w:val="BlockText"/>
              <w:numPr>
                <w:ilvl w:val="12"/>
                <w:numId w:val="0"/>
              </w:numPr>
            </w:pPr>
            <w:hyperlink r:id="rId13" w:tooltip="https://www.gsa.gov/travel/plan-book/per-diem-rates" w:history="1">
              <w:r w:rsidR="00BB0919" w:rsidRPr="00086C2F">
                <w:rPr>
                  <w:rStyle w:val="Hyperlink"/>
                </w:rPr>
                <w:t>https://www.gsa.gov/travel/plan-book/per-diem-rates</w:t>
              </w:r>
            </w:hyperlink>
          </w:p>
          <w:p w:rsidR="00BB0919" w:rsidRPr="003224A6" w:rsidRDefault="00BB0919" w:rsidP="00CA5121">
            <w:pPr>
              <w:pStyle w:val="BlockText"/>
              <w:numPr>
                <w:ilvl w:val="12"/>
                <w:numId w:val="0"/>
              </w:numPr>
            </w:pPr>
          </w:p>
        </w:tc>
      </w:tr>
      <w:tr w:rsidR="00971EDD" w:rsidTr="008F50FB">
        <w:tblPrEx>
          <w:tblBorders>
            <w:insideH w:val="single" w:sz="18" w:space="0" w:color="auto"/>
            <w:insideV w:val="single" w:sz="18" w:space="0" w:color="auto"/>
          </w:tblBorders>
        </w:tblPrEx>
        <w:trPr>
          <w:cantSplit/>
          <w:trHeight w:val="621"/>
        </w:trPr>
        <w:tc>
          <w:tcPr>
            <w:tcW w:w="1730" w:type="dxa"/>
            <w:tcBorders>
              <w:top w:val="nil"/>
              <w:bottom w:val="nil"/>
              <w:right w:val="nil"/>
            </w:tcBorders>
          </w:tcPr>
          <w:p w:rsidR="00971EDD" w:rsidRPr="007E72BF" w:rsidRDefault="00971EDD" w:rsidP="004B6AAA">
            <w:pPr>
              <w:pStyle w:val="level2"/>
            </w:pPr>
            <w:bookmarkStart w:id="216" w:name="_Toc215908264"/>
            <w:r w:rsidRPr="007E72BF">
              <w:t xml:space="preserve">Conference Lodging </w:t>
            </w:r>
            <w:bookmarkEnd w:id="216"/>
          </w:p>
        </w:tc>
        <w:tc>
          <w:tcPr>
            <w:tcW w:w="8530" w:type="dxa"/>
            <w:tcBorders>
              <w:top w:val="nil"/>
              <w:left w:val="nil"/>
              <w:bottom w:val="nil"/>
            </w:tcBorders>
          </w:tcPr>
          <w:p w:rsidR="00971EDD" w:rsidRDefault="009609C7" w:rsidP="009609C7">
            <w:pPr>
              <w:pStyle w:val="BlockText"/>
              <w:numPr>
                <w:ilvl w:val="12"/>
                <w:numId w:val="0"/>
              </w:numPr>
              <w:rPr>
                <w:color w:val="000000"/>
              </w:rPr>
            </w:pPr>
            <w:r>
              <w:rPr>
                <w:color w:val="000000"/>
              </w:rPr>
              <w:t>Exceptions may be granted s</w:t>
            </w:r>
            <w:r w:rsidR="00971EDD" w:rsidRPr="007E72BF">
              <w:rPr>
                <w:color w:val="000000"/>
              </w:rPr>
              <w:t xml:space="preserve">hould the conference </w:t>
            </w:r>
            <w:r w:rsidR="004B6AAA">
              <w:rPr>
                <w:color w:val="000000"/>
              </w:rPr>
              <w:t xml:space="preserve">lodging </w:t>
            </w:r>
            <w:r w:rsidR="00971EDD" w:rsidRPr="007E72BF">
              <w:rPr>
                <w:color w:val="000000"/>
              </w:rPr>
              <w:t xml:space="preserve">rate exceed </w:t>
            </w:r>
            <w:r w:rsidR="004B6AAA">
              <w:rPr>
                <w:color w:val="000000"/>
              </w:rPr>
              <w:t>the 100% overage</w:t>
            </w:r>
            <w:r w:rsidR="00971EDD" w:rsidRPr="007E72BF">
              <w:rPr>
                <w:color w:val="000000"/>
              </w:rPr>
              <w:t xml:space="preserve"> allowance</w:t>
            </w:r>
            <w:r w:rsidR="00A27E1D">
              <w:rPr>
                <w:color w:val="000000"/>
              </w:rPr>
              <w:t>.</w:t>
            </w:r>
            <w:r w:rsidR="004B6AAA">
              <w:rPr>
                <w:color w:val="000000"/>
              </w:rPr>
              <w:t xml:space="preserve"> </w:t>
            </w:r>
            <w:r>
              <w:rPr>
                <w:color w:val="000000"/>
              </w:rPr>
              <w:t xml:space="preserve">Conference documentation is </w:t>
            </w:r>
            <w:r w:rsidRPr="00D1347F">
              <w:rPr>
                <w:b/>
                <w:color w:val="000000"/>
              </w:rPr>
              <w:t>required</w:t>
            </w:r>
            <w:r>
              <w:rPr>
                <w:color w:val="000000"/>
              </w:rPr>
              <w:t>.</w:t>
            </w:r>
          </w:p>
          <w:p w:rsidR="0091014E" w:rsidRPr="007E72BF" w:rsidRDefault="0091014E" w:rsidP="009609C7">
            <w:pPr>
              <w:pStyle w:val="BlockText"/>
              <w:numPr>
                <w:ilvl w:val="12"/>
                <w:numId w:val="0"/>
              </w:numPr>
              <w:rPr>
                <w:color w:val="000000"/>
              </w:rPr>
            </w:pPr>
          </w:p>
        </w:tc>
      </w:tr>
      <w:tr w:rsidR="005706EB" w:rsidTr="008F50FB">
        <w:tblPrEx>
          <w:tblBorders>
            <w:insideH w:val="single" w:sz="18" w:space="0" w:color="auto"/>
            <w:insideV w:val="single" w:sz="18" w:space="0" w:color="auto"/>
          </w:tblBorders>
        </w:tblPrEx>
        <w:trPr>
          <w:cantSplit/>
          <w:trHeight w:val="621"/>
        </w:trPr>
        <w:tc>
          <w:tcPr>
            <w:tcW w:w="1730" w:type="dxa"/>
            <w:tcBorders>
              <w:top w:val="nil"/>
              <w:bottom w:val="nil"/>
              <w:right w:val="nil"/>
            </w:tcBorders>
          </w:tcPr>
          <w:p w:rsidR="005706EB" w:rsidRPr="007E72BF" w:rsidRDefault="005706EB" w:rsidP="004B6AAA">
            <w:pPr>
              <w:pStyle w:val="level2"/>
            </w:pPr>
            <w:r w:rsidRPr="00EE5048">
              <w:t>Non-Canceled Reservations</w:t>
            </w:r>
          </w:p>
        </w:tc>
        <w:tc>
          <w:tcPr>
            <w:tcW w:w="8530" w:type="dxa"/>
            <w:tcBorders>
              <w:top w:val="nil"/>
              <w:left w:val="nil"/>
              <w:bottom w:val="nil"/>
            </w:tcBorders>
          </w:tcPr>
          <w:p w:rsidR="005706EB" w:rsidRDefault="005706EB" w:rsidP="009609C7">
            <w:pPr>
              <w:pStyle w:val="BlockText"/>
              <w:numPr>
                <w:ilvl w:val="12"/>
                <w:numId w:val="0"/>
              </w:numPr>
              <w:rPr>
                <w:color w:val="000000"/>
              </w:rPr>
            </w:pPr>
            <w:r>
              <w:t>Communicate travel plan changes as soon as possible when a confirmed reservation is being held.  Since charges may be incurred for non-canceled reservations, these charges will</w:t>
            </w:r>
            <w:r>
              <w:rPr>
                <w:b/>
              </w:rPr>
              <w:t xml:space="preserve"> </w:t>
            </w:r>
            <w:r w:rsidRPr="00513562">
              <w:t>not</w:t>
            </w:r>
            <w:r>
              <w:t xml:space="preserve"> be reimbursed if the traveler is negligent in canceling reservations.</w:t>
            </w:r>
          </w:p>
        </w:tc>
      </w:tr>
    </w:tbl>
    <w:p w:rsidR="00CB3D9D" w:rsidRPr="00400AEF" w:rsidRDefault="00CB3D9D" w:rsidP="000D0E2B">
      <w:pPr>
        <w:spacing w:after="600"/>
      </w:pPr>
    </w:p>
    <w:tbl>
      <w:tblPr>
        <w:tblW w:w="10267" w:type="dxa"/>
        <w:tblInd w:w="-12" w:type="dxa"/>
        <w:tblLayout w:type="fixed"/>
        <w:tblLook w:val="0000" w:firstRow="0" w:lastRow="0" w:firstColumn="0" w:lastColumn="0" w:noHBand="0" w:noVBand="0"/>
      </w:tblPr>
      <w:tblGrid>
        <w:gridCol w:w="7"/>
        <w:gridCol w:w="1721"/>
        <w:gridCol w:w="7"/>
        <w:gridCol w:w="8532"/>
      </w:tblGrid>
      <w:tr w:rsidR="008F50FB" w:rsidRPr="00692408" w:rsidTr="007D6F27">
        <w:trPr>
          <w:gridBefore w:val="1"/>
          <w:wBefore w:w="7" w:type="dxa"/>
          <w:trHeight w:val="647"/>
        </w:trPr>
        <w:tc>
          <w:tcPr>
            <w:tcW w:w="10260" w:type="dxa"/>
            <w:gridSpan w:val="3"/>
            <w:tcBorders>
              <w:top w:val="single" w:sz="4" w:space="0" w:color="auto"/>
              <w:left w:val="single" w:sz="4" w:space="0" w:color="auto"/>
              <w:bottom w:val="single" w:sz="4" w:space="0" w:color="auto"/>
              <w:right w:val="single" w:sz="4" w:space="0" w:color="auto"/>
            </w:tcBorders>
          </w:tcPr>
          <w:p w:rsidR="008F50FB" w:rsidRPr="00692408" w:rsidRDefault="008F50FB" w:rsidP="008F50FB">
            <w:pPr>
              <w:pStyle w:val="level1"/>
              <w:pBdr>
                <w:top w:val="none" w:sz="0" w:space="0" w:color="auto"/>
                <w:between w:val="none" w:sz="0" w:space="0" w:color="auto"/>
              </w:pBdr>
              <w:ind w:left="0"/>
              <w:rPr>
                <w:b w:val="0"/>
              </w:rPr>
            </w:pPr>
            <w:r>
              <w:t xml:space="preserve">Per Diem - Meals &amp; </w:t>
            </w:r>
            <w:r w:rsidRPr="001E1DFE">
              <w:t xml:space="preserve">Incidental Travel Expenses </w:t>
            </w:r>
          </w:p>
        </w:tc>
      </w:tr>
      <w:tr w:rsidR="005706EB" w:rsidTr="007D6F27">
        <w:trPr>
          <w:gridBefore w:val="1"/>
          <w:wBefore w:w="7" w:type="dxa"/>
          <w:cantSplit/>
        </w:trPr>
        <w:tc>
          <w:tcPr>
            <w:tcW w:w="10260" w:type="dxa"/>
            <w:gridSpan w:val="3"/>
          </w:tcPr>
          <w:p w:rsidR="005706EB" w:rsidRPr="008F50FB" w:rsidRDefault="005706EB" w:rsidP="00EB58EF">
            <w:pPr>
              <w:pStyle w:val="BlockText"/>
              <w:rPr>
                <w:i/>
                <w:iCs/>
              </w:rPr>
            </w:pPr>
            <w:r w:rsidRPr="008F50FB">
              <w:rPr>
                <w:i/>
                <w:iCs/>
              </w:rPr>
              <w:t xml:space="preserve">Meals and certain incidental travel expenses are paid on a per diem basis (not actual expenses) for </w:t>
            </w:r>
            <w:r w:rsidRPr="008F50FB">
              <w:rPr>
                <w:b/>
                <w:i/>
                <w:iCs/>
              </w:rPr>
              <w:t>overnight</w:t>
            </w:r>
            <w:r w:rsidRPr="008F50FB">
              <w:rPr>
                <w:i/>
                <w:iCs/>
              </w:rPr>
              <w:t xml:space="preserve"> official business travel outside the traveler’s official station.  The applicable M&amp;IE per diem is payable to the traveler </w:t>
            </w:r>
            <w:r w:rsidRPr="008F50FB">
              <w:rPr>
                <w:i/>
                <w:iCs/>
                <w:u w:val="single"/>
              </w:rPr>
              <w:t>without</w:t>
            </w:r>
            <w:r w:rsidRPr="008F50FB">
              <w:rPr>
                <w:i/>
                <w:iCs/>
              </w:rPr>
              <w:t xml:space="preserve"> receipts. </w:t>
            </w:r>
          </w:p>
          <w:p w:rsidR="005706EB" w:rsidRPr="00C946B2" w:rsidRDefault="005706EB" w:rsidP="00EB58EF">
            <w:pPr>
              <w:pStyle w:val="BlockText"/>
            </w:pPr>
          </w:p>
        </w:tc>
      </w:tr>
      <w:tr w:rsidR="00A43C83" w:rsidTr="007D6F27">
        <w:trPr>
          <w:gridBefore w:val="1"/>
          <w:wBefore w:w="7" w:type="dxa"/>
          <w:cantSplit/>
        </w:trPr>
        <w:tc>
          <w:tcPr>
            <w:tcW w:w="1728" w:type="dxa"/>
            <w:gridSpan w:val="2"/>
          </w:tcPr>
          <w:p w:rsidR="00A43C83" w:rsidRPr="00EE5048" w:rsidRDefault="00A43C83" w:rsidP="00EE5048">
            <w:pPr>
              <w:pStyle w:val="level2"/>
            </w:pPr>
            <w:bookmarkStart w:id="217" w:name="_Toc215908280"/>
            <w:r w:rsidRPr="00EE5048">
              <w:t>Per Diem Meals</w:t>
            </w:r>
            <w:bookmarkEnd w:id="217"/>
          </w:p>
        </w:tc>
        <w:tc>
          <w:tcPr>
            <w:tcW w:w="8532" w:type="dxa"/>
          </w:tcPr>
          <w:p w:rsidR="00C17EDF" w:rsidRDefault="001020D0" w:rsidP="00F368C4">
            <w:pPr>
              <w:pStyle w:val="BlockText"/>
            </w:pPr>
            <w:r>
              <w:t>T</w:t>
            </w:r>
            <w:r w:rsidR="00A43C83">
              <w:t>ravelers must follow the meal limits published on the Government CONUS AND OC</w:t>
            </w:r>
            <w:r>
              <w:t>O</w:t>
            </w:r>
            <w:r w:rsidR="00A43C83">
              <w:t>NUS travel charts</w:t>
            </w:r>
            <w:r>
              <w:t xml:space="preserve"> for the travel </w:t>
            </w:r>
            <w:r w:rsidR="00A60673">
              <w:t>destination</w:t>
            </w:r>
            <w:r w:rsidR="00EB58EF">
              <w:t xml:space="preserve">. </w:t>
            </w:r>
            <w:r w:rsidR="00C17EDF" w:rsidRPr="00C17EDF">
              <w:t xml:space="preserve">The M&amp;IE per diem must correspond to the location </w:t>
            </w:r>
            <w:r w:rsidR="008D723F">
              <w:t>of</w:t>
            </w:r>
            <w:r w:rsidR="00C17EDF" w:rsidRPr="00C17EDF">
              <w:t xml:space="preserve"> overnight lodging.</w:t>
            </w:r>
          </w:p>
          <w:p w:rsidR="005706EB" w:rsidRPr="00C17EDF" w:rsidRDefault="005706EB" w:rsidP="00F368C4">
            <w:pPr>
              <w:pStyle w:val="BlockText"/>
            </w:pPr>
          </w:p>
          <w:p w:rsidR="00A43C83" w:rsidRDefault="00682121" w:rsidP="00C30D23">
            <w:pPr>
              <w:pStyle w:val="BlockText"/>
            </w:pPr>
            <w:hyperlink r:id="rId14" w:tooltip="https://www.gsa.gov/travel/plan-book/per-diem-rates" w:history="1">
              <w:r w:rsidR="00BB0919" w:rsidRPr="00086C2F">
                <w:rPr>
                  <w:rStyle w:val="Hyperlink"/>
                </w:rPr>
                <w:t>https://www.gsa.gov/travel/plan-book/per-diem-rates</w:t>
              </w:r>
            </w:hyperlink>
          </w:p>
          <w:p w:rsidR="00BB0919" w:rsidRDefault="00BB0919" w:rsidP="00C30D23">
            <w:pPr>
              <w:pStyle w:val="BlockText"/>
            </w:pPr>
          </w:p>
        </w:tc>
      </w:tr>
      <w:tr w:rsidR="001C72A1" w:rsidRPr="007E72BF" w:rsidTr="007D6F27">
        <w:trPr>
          <w:gridBefore w:val="1"/>
          <w:wBefore w:w="7" w:type="dxa"/>
          <w:cantSplit/>
        </w:trPr>
        <w:tc>
          <w:tcPr>
            <w:tcW w:w="1728" w:type="dxa"/>
            <w:gridSpan w:val="2"/>
          </w:tcPr>
          <w:p w:rsidR="00FA72BB" w:rsidRPr="00EE5048" w:rsidRDefault="001C72A1" w:rsidP="00EE5048">
            <w:pPr>
              <w:pStyle w:val="level2"/>
            </w:pPr>
            <w:bookmarkStart w:id="218" w:name="_Toc461526143"/>
            <w:bookmarkStart w:id="219" w:name="_Toc461527448"/>
            <w:bookmarkStart w:id="220" w:name="_Toc461527927"/>
            <w:bookmarkStart w:id="221" w:name="_Toc461870064"/>
            <w:bookmarkStart w:id="222" w:name="_Toc480969231"/>
            <w:bookmarkStart w:id="223" w:name="_Toc480969498"/>
            <w:bookmarkStart w:id="224" w:name="_Toc480969582"/>
            <w:bookmarkStart w:id="225" w:name="_Toc480969666"/>
            <w:bookmarkStart w:id="226" w:name="_Toc480969846"/>
            <w:bookmarkStart w:id="227" w:name="_Toc481206810"/>
            <w:bookmarkStart w:id="228" w:name="_Toc482757898"/>
            <w:bookmarkStart w:id="229" w:name="_Toc482758146"/>
            <w:bookmarkStart w:id="230" w:name="_Toc483016475"/>
            <w:bookmarkStart w:id="231" w:name="_Toc483795448"/>
            <w:bookmarkStart w:id="232" w:name="_Toc483798382"/>
            <w:bookmarkStart w:id="233" w:name="_Toc15887693"/>
            <w:bookmarkStart w:id="234" w:name="_Toc15888974"/>
            <w:bookmarkStart w:id="235" w:name="_Toc15889127"/>
            <w:bookmarkStart w:id="236" w:name="_Toc15889209"/>
            <w:bookmarkStart w:id="237" w:name="_Toc15889689"/>
            <w:bookmarkStart w:id="238" w:name="_Toc15889982"/>
            <w:bookmarkStart w:id="239" w:name="_Toc15958993"/>
            <w:bookmarkStart w:id="240" w:name="_Toc19433857"/>
            <w:bookmarkStart w:id="241" w:name="_Toc20124442"/>
            <w:bookmarkStart w:id="242" w:name="_Toc85964271"/>
            <w:bookmarkStart w:id="243" w:name="_Toc85964438"/>
            <w:bookmarkStart w:id="244" w:name="_Toc202077926"/>
            <w:bookmarkStart w:id="245" w:name="_Toc215908281"/>
            <w:r w:rsidRPr="00EE5048">
              <w:t xml:space="preserve">Incidental </w:t>
            </w:r>
            <w:bookmarkStart w:id="246" w:name="_Toc461526144"/>
            <w:bookmarkEnd w:id="218"/>
            <w:r w:rsidRPr="00EE5048">
              <w:t>Allowance</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tc>
        <w:tc>
          <w:tcPr>
            <w:tcW w:w="8532" w:type="dxa"/>
          </w:tcPr>
          <w:p w:rsidR="00EB58EF" w:rsidRDefault="001300BB" w:rsidP="00EB58EF">
            <w:pPr>
              <w:pStyle w:val="BlockText"/>
              <w:rPr>
                <w:color w:val="000000"/>
              </w:rPr>
            </w:pPr>
            <w:r>
              <w:rPr>
                <w:szCs w:val="24"/>
              </w:rPr>
              <w:t>The incidental allowance</w:t>
            </w:r>
            <w:r w:rsidRPr="000B34CC">
              <w:rPr>
                <w:szCs w:val="24"/>
              </w:rPr>
              <w:t xml:space="preserve"> </w:t>
            </w:r>
            <w:r>
              <w:rPr>
                <w:szCs w:val="24"/>
              </w:rPr>
              <w:t xml:space="preserve">is to cover typical gratuity associated with travel. </w:t>
            </w:r>
            <w:r w:rsidRPr="000B34CC">
              <w:rPr>
                <w:szCs w:val="24"/>
              </w:rPr>
              <w:t>Reimbursement of these expenses as separate items is not permitted</w:t>
            </w:r>
            <w:r>
              <w:rPr>
                <w:szCs w:val="24"/>
              </w:rPr>
              <w:t xml:space="preserve"> when claiming per diem.</w:t>
            </w:r>
            <w:r w:rsidRPr="007E72BF">
              <w:rPr>
                <w:color w:val="000000"/>
              </w:rPr>
              <w:t xml:space="preserve"> </w:t>
            </w:r>
          </w:p>
          <w:p w:rsidR="001300BB" w:rsidRPr="007E72BF" w:rsidRDefault="001300BB" w:rsidP="00EB58EF">
            <w:pPr>
              <w:pStyle w:val="BlockText"/>
              <w:rPr>
                <w:color w:val="000000"/>
              </w:rPr>
            </w:pPr>
          </w:p>
        </w:tc>
      </w:tr>
      <w:tr w:rsidR="00A43C83" w:rsidTr="007D6F27">
        <w:trPr>
          <w:gridBefore w:val="1"/>
          <w:wBefore w:w="7" w:type="dxa"/>
          <w:cantSplit/>
        </w:trPr>
        <w:tc>
          <w:tcPr>
            <w:tcW w:w="1728" w:type="dxa"/>
            <w:gridSpan w:val="2"/>
          </w:tcPr>
          <w:p w:rsidR="00A43C83" w:rsidRPr="00B17499" w:rsidRDefault="00A43C83" w:rsidP="00B17499">
            <w:pPr>
              <w:pStyle w:val="level2"/>
            </w:pPr>
            <w:bookmarkStart w:id="247" w:name="_Toc215908282"/>
            <w:r w:rsidRPr="00B17499">
              <w:t>Miscellaneous</w:t>
            </w:r>
            <w:r w:rsidR="00327E7C" w:rsidRPr="00B17499">
              <w:t xml:space="preserve"> </w:t>
            </w:r>
            <w:r w:rsidRPr="00B17499">
              <w:t>Expenses</w:t>
            </w:r>
            <w:bookmarkEnd w:id="247"/>
          </w:p>
        </w:tc>
        <w:tc>
          <w:tcPr>
            <w:tcW w:w="8532" w:type="dxa"/>
          </w:tcPr>
          <w:p w:rsidR="00EB58EF" w:rsidRDefault="00A43C83" w:rsidP="00C30D23">
            <w:pPr>
              <w:pStyle w:val="BlockText"/>
            </w:pPr>
            <w:r>
              <w:t>Miscellaneous</w:t>
            </w:r>
            <w:r w:rsidR="001300BB">
              <w:t xml:space="preserve"> business related</w:t>
            </w:r>
            <w:r>
              <w:t xml:space="preserve"> expens</w:t>
            </w:r>
            <w:r w:rsidR="001300BB">
              <w:t>es that are not covered by the i</w:t>
            </w:r>
            <w:r>
              <w:t xml:space="preserve">ncidental </w:t>
            </w:r>
            <w:r w:rsidR="001300BB">
              <w:t xml:space="preserve">allowance </w:t>
            </w:r>
            <w:r w:rsidR="00F9375D">
              <w:t>are reimbursable</w:t>
            </w:r>
            <w:r>
              <w:t>.  Receipts are required</w:t>
            </w:r>
            <w:r w:rsidR="00F368C4">
              <w:t xml:space="preserve"> for any </w:t>
            </w:r>
            <w:r w:rsidR="001300BB">
              <w:t>individual claim of</w:t>
            </w:r>
            <w:r w:rsidR="00F368C4">
              <w:t xml:space="preserve"> $7</w:t>
            </w:r>
            <w:r>
              <w:t>5.00</w:t>
            </w:r>
            <w:r w:rsidR="00EB58EF">
              <w:t xml:space="preserve"> or more</w:t>
            </w:r>
            <w:r>
              <w:t>.</w:t>
            </w:r>
          </w:p>
          <w:p w:rsidR="00EB58EF" w:rsidRPr="00A43C83" w:rsidRDefault="00EB58EF" w:rsidP="00C30D23">
            <w:pPr>
              <w:pStyle w:val="BlockText"/>
            </w:pPr>
          </w:p>
        </w:tc>
      </w:tr>
      <w:tr w:rsidR="001C72A1" w:rsidTr="007D6F27">
        <w:tblPrEx>
          <w:tblCellMar>
            <w:left w:w="115" w:type="dxa"/>
            <w:right w:w="115" w:type="dxa"/>
          </w:tblCellMar>
        </w:tblPrEx>
        <w:trPr>
          <w:cantSplit/>
          <w:trHeight w:val="3951"/>
        </w:trPr>
        <w:tc>
          <w:tcPr>
            <w:tcW w:w="1728" w:type="dxa"/>
            <w:gridSpan w:val="2"/>
          </w:tcPr>
          <w:p w:rsidR="001C72A1" w:rsidRDefault="00F368C4" w:rsidP="00EE5048">
            <w:pPr>
              <w:pStyle w:val="level2"/>
            </w:pPr>
            <w:bookmarkStart w:id="248" w:name="_Toc461526145"/>
            <w:bookmarkStart w:id="249" w:name="_Toc461527449"/>
            <w:bookmarkStart w:id="250" w:name="_Toc461527928"/>
            <w:bookmarkStart w:id="251" w:name="_Toc461870065"/>
            <w:bookmarkStart w:id="252" w:name="_Toc480969232"/>
            <w:bookmarkStart w:id="253" w:name="_Toc480969499"/>
            <w:bookmarkStart w:id="254" w:name="_Toc480969583"/>
            <w:bookmarkStart w:id="255" w:name="_Toc480969667"/>
            <w:bookmarkStart w:id="256" w:name="_Toc480969847"/>
            <w:bookmarkStart w:id="257" w:name="_Toc481206811"/>
            <w:bookmarkStart w:id="258" w:name="_Toc482757899"/>
            <w:bookmarkStart w:id="259" w:name="_Toc482758147"/>
            <w:bookmarkStart w:id="260" w:name="_Toc483016476"/>
            <w:bookmarkStart w:id="261" w:name="_Toc483795449"/>
            <w:bookmarkStart w:id="262" w:name="_Toc483798383"/>
            <w:bookmarkStart w:id="263" w:name="_Toc15887694"/>
            <w:bookmarkStart w:id="264" w:name="_Toc15888975"/>
            <w:bookmarkStart w:id="265" w:name="_Toc15889128"/>
            <w:bookmarkStart w:id="266" w:name="_Toc15889210"/>
            <w:bookmarkStart w:id="267" w:name="_Toc15889690"/>
            <w:bookmarkStart w:id="268" w:name="_Toc15889983"/>
            <w:bookmarkStart w:id="269" w:name="_Toc15958994"/>
            <w:bookmarkStart w:id="270" w:name="_Toc19433858"/>
            <w:bookmarkStart w:id="271" w:name="_Toc20124443"/>
            <w:bookmarkStart w:id="272" w:name="_Toc85964272"/>
            <w:bookmarkStart w:id="273" w:name="_Toc85964439"/>
            <w:bookmarkStart w:id="274" w:name="_Toc202077927"/>
            <w:bookmarkStart w:id="275" w:name="_Toc215908284"/>
            <w:r>
              <w:lastRenderedPageBreak/>
              <w:t>Proration</w:t>
            </w:r>
            <w:r w:rsidR="001020D0">
              <w:t xml:space="preserve"> and Reductions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C137A2" w:rsidRPr="00EE5048" w:rsidRDefault="00C137A2" w:rsidP="00837A86">
            <w:pPr>
              <w:pStyle w:val="level2"/>
            </w:pPr>
          </w:p>
        </w:tc>
        <w:tc>
          <w:tcPr>
            <w:tcW w:w="8539" w:type="dxa"/>
            <w:gridSpan w:val="2"/>
          </w:tcPr>
          <w:p w:rsidR="00C137A2" w:rsidRDefault="00E17353" w:rsidP="002E0EED">
            <w:pPr>
              <w:pStyle w:val="Default"/>
              <w:numPr>
                <w:ilvl w:val="0"/>
                <w:numId w:val="30"/>
              </w:numPr>
              <w:tabs>
                <w:tab w:val="left" w:pos="0"/>
              </w:tabs>
            </w:pPr>
            <w:r w:rsidRPr="00E17353">
              <w:t>On a travel </w:t>
            </w:r>
            <w:r w:rsidRPr="00E17353">
              <w:rPr>
                <w:u w:val="single"/>
              </w:rPr>
              <w:t>departure or return day</w:t>
            </w:r>
            <w:r w:rsidRPr="00E17353">
              <w:t>, 75% of the M&amp;IE is reimbursed. </w:t>
            </w:r>
          </w:p>
          <w:p w:rsidR="002E0EED" w:rsidRDefault="00AB44F7" w:rsidP="002E0EED">
            <w:pPr>
              <w:pStyle w:val="Default"/>
              <w:numPr>
                <w:ilvl w:val="0"/>
                <w:numId w:val="30"/>
              </w:numPr>
              <w:tabs>
                <w:tab w:val="left" w:pos="0"/>
              </w:tabs>
            </w:pPr>
            <w:r>
              <w:t xml:space="preserve">The reduction is </w:t>
            </w:r>
            <w:r w:rsidR="002E0EED">
              <w:t>base</w:t>
            </w:r>
            <w:r>
              <w:t>d</w:t>
            </w:r>
            <w:r w:rsidR="002E0EED">
              <w:t xml:space="preserve"> the </w:t>
            </w:r>
            <w:r>
              <w:t xml:space="preserve">location </w:t>
            </w:r>
            <w:r w:rsidR="002E0EED">
              <w:t xml:space="preserve">per diem where the night was spent as follows: </w:t>
            </w:r>
          </w:p>
          <w:p w:rsidR="005706EB" w:rsidRDefault="005706EB" w:rsidP="002E0EED">
            <w:pPr>
              <w:pStyle w:val="Default"/>
              <w:numPr>
                <w:ilvl w:val="0"/>
                <w:numId w:val="30"/>
              </w:numPr>
              <w:tabs>
                <w:tab w:val="left" w:pos="0"/>
              </w:tabs>
            </w:pPr>
          </w:p>
          <w:p w:rsidR="002E0EED" w:rsidRDefault="002E0EED" w:rsidP="008C7F67">
            <w:pPr>
              <w:pStyle w:val="Default"/>
              <w:numPr>
                <w:ilvl w:val="0"/>
                <w:numId w:val="30"/>
              </w:numPr>
              <w:tabs>
                <w:tab w:val="left" w:pos="-18"/>
                <w:tab w:val="left" w:pos="1850"/>
              </w:tabs>
              <w:ind w:left="2840" w:hanging="2419"/>
            </w:pPr>
            <w:r>
              <w:rPr>
                <w:u w:val="single"/>
              </w:rPr>
              <w:t>Departure Day</w:t>
            </w:r>
            <w:r>
              <w:t xml:space="preserve">: </w:t>
            </w:r>
            <w:r w:rsidR="005F7AA8">
              <w:t xml:space="preserve"> </w:t>
            </w:r>
            <w:r>
              <w:t xml:space="preserve">Where </w:t>
            </w:r>
            <w:r w:rsidR="001300BB">
              <w:t>the traveler</w:t>
            </w:r>
            <w:r>
              <w:t xml:space="preserve"> spen</w:t>
            </w:r>
            <w:r w:rsidR="009012F2">
              <w:t>t</w:t>
            </w:r>
            <w:r>
              <w:t xml:space="preserve"> the night</w:t>
            </w:r>
            <w:r w:rsidR="009012F2">
              <w:t xml:space="preserve"> before </w:t>
            </w:r>
            <w:r w:rsidR="009012F2" w:rsidRPr="009012F2">
              <w:rPr>
                <w:u w:val="single"/>
              </w:rPr>
              <w:t>leaving</w:t>
            </w:r>
            <w:r>
              <w:t xml:space="preserve">. </w:t>
            </w:r>
          </w:p>
          <w:p w:rsidR="002E0EED" w:rsidRDefault="002E0EED" w:rsidP="008C7F67">
            <w:pPr>
              <w:pStyle w:val="Default"/>
              <w:numPr>
                <w:ilvl w:val="0"/>
                <w:numId w:val="30"/>
              </w:numPr>
              <w:tabs>
                <w:tab w:val="left" w:pos="1840"/>
                <w:tab w:val="left" w:pos="2240"/>
              </w:tabs>
              <w:ind w:left="3200" w:hanging="2419"/>
            </w:pPr>
            <w:r>
              <w:rPr>
                <w:u w:val="single"/>
              </w:rPr>
              <w:t>Return Day</w:t>
            </w:r>
            <w:r>
              <w:t xml:space="preserve">: </w:t>
            </w:r>
            <w:r w:rsidR="005F7AA8">
              <w:t xml:space="preserve"> </w:t>
            </w:r>
            <w:r>
              <w:t xml:space="preserve">Where </w:t>
            </w:r>
            <w:r w:rsidR="001300BB">
              <w:t>the traveler</w:t>
            </w:r>
            <w:r>
              <w:t xml:space="preserve"> spent the night </w:t>
            </w:r>
            <w:r w:rsidRPr="009012F2">
              <w:rPr>
                <w:iCs/>
              </w:rPr>
              <w:t>before</w:t>
            </w:r>
            <w:r>
              <w:rPr>
                <w:i/>
                <w:iCs/>
              </w:rPr>
              <w:t xml:space="preserve"> </w:t>
            </w:r>
            <w:r w:rsidR="001300BB" w:rsidRPr="009012F2">
              <w:rPr>
                <w:u w:val="single"/>
              </w:rPr>
              <w:t>returning</w:t>
            </w:r>
            <w:r w:rsidR="001300BB">
              <w:t xml:space="preserve"> home</w:t>
            </w:r>
            <w:r>
              <w:t xml:space="preserve">. </w:t>
            </w:r>
          </w:p>
          <w:p w:rsidR="002E0EED" w:rsidRDefault="002E0EED" w:rsidP="002A067C">
            <w:pPr>
              <w:pStyle w:val="BulletText1"/>
              <w:autoSpaceDE w:val="0"/>
              <w:autoSpaceDN w:val="0"/>
              <w:adjustRightInd w:val="0"/>
              <w:ind w:left="-18" w:firstLine="0"/>
              <w:rPr>
                <w:color w:val="000000"/>
              </w:rPr>
            </w:pPr>
          </w:p>
          <w:p w:rsidR="000D48A6" w:rsidRDefault="002E0EED">
            <w:pPr>
              <w:pStyle w:val="BlockText"/>
            </w:pPr>
            <w:r>
              <w:t>When meals are pro</w:t>
            </w:r>
            <w:r w:rsidR="00AB44F7">
              <w:t xml:space="preserve">vided, </w:t>
            </w:r>
            <w:r>
              <w:t xml:space="preserve">the applicable </w:t>
            </w:r>
            <w:r w:rsidR="00C17EDF">
              <w:t>meal</w:t>
            </w:r>
            <w:r>
              <w:t xml:space="preserve"> per diem</w:t>
            </w:r>
            <w:r w:rsidR="00F368C4">
              <w:t xml:space="preserve"> </w:t>
            </w:r>
            <w:r w:rsidR="00AB44F7">
              <w:t>(</w:t>
            </w:r>
            <w:r w:rsidR="00F368C4" w:rsidRPr="00F368C4">
              <w:t xml:space="preserve">breakfast, lunch, dinner) must </w:t>
            </w:r>
            <w:r>
              <w:t xml:space="preserve">be reduced by the amount shown for the applicable meal </w:t>
            </w:r>
            <w:r w:rsidR="00B32954">
              <w:t xml:space="preserve">on the </w:t>
            </w:r>
            <w:r w:rsidR="00B32954" w:rsidRPr="00B32954">
              <w:t>Government CONUS AND OCONUS travel charts</w:t>
            </w:r>
          </w:p>
          <w:p w:rsidR="001C72A1" w:rsidRPr="00F26B25" w:rsidRDefault="001C72A1" w:rsidP="00F26B25">
            <w:pPr>
              <w:pStyle w:val="Default"/>
              <w:numPr>
                <w:ilvl w:val="0"/>
                <w:numId w:val="30"/>
              </w:numPr>
              <w:tabs>
                <w:tab w:val="left" w:pos="0"/>
              </w:tabs>
            </w:pPr>
          </w:p>
          <w:p w:rsidR="005706EB" w:rsidRDefault="00B32954" w:rsidP="008F50FB">
            <w:pPr>
              <w:pStyle w:val="BlockText"/>
            </w:pPr>
            <w:r>
              <w:t>When meals are provided on a travel departure or return day, the full day’s per diem rate is reduced by the full amount of the appropriate meals, followed by prorating the balance by 75%.</w:t>
            </w:r>
          </w:p>
          <w:p w:rsidR="007D6F27" w:rsidRDefault="007D6F27" w:rsidP="008F50FB">
            <w:pPr>
              <w:pStyle w:val="BlockText"/>
            </w:pPr>
          </w:p>
        </w:tc>
      </w:tr>
      <w:tr w:rsidR="008F50FB" w:rsidRPr="00692408" w:rsidTr="007D6F27">
        <w:trPr>
          <w:gridBefore w:val="1"/>
          <w:wBefore w:w="7" w:type="dxa"/>
          <w:trHeight w:val="647"/>
        </w:trPr>
        <w:tc>
          <w:tcPr>
            <w:tcW w:w="10260" w:type="dxa"/>
            <w:gridSpan w:val="3"/>
            <w:tcBorders>
              <w:top w:val="single" w:sz="4" w:space="0" w:color="auto"/>
              <w:left w:val="single" w:sz="4" w:space="0" w:color="auto"/>
              <w:bottom w:val="single" w:sz="4" w:space="0" w:color="auto"/>
              <w:right w:val="single" w:sz="4" w:space="0" w:color="auto"/>
            </w:tcBorders>
          </w:tcPr>
          <w:p w:rsidR="008F50FB" w:rsidRPr="00692408" w:rsidRDefault="007503C2" w:rsidP="007503C2">
            <w:pPr>
              <w:pStyle w:val="level1"/>
              <w:pBdr>
                <w:top w:val="none" w:sz="0" w:space="0" w:color="auto"/>
                <w:between w:val="none" w:sz="0" w:space="0" w:color="auto"/>
              </w:pBdr>
              <w:ind w:left="0"/>
              <w:rPr>
                <w:b w:val="0"/>
              </w:rPr>
            </w:pPr>
            <w:r w:rsidRPr="001E1DFE">
              <w:t xml:space="preserve">Travel </w:t>
            </w:r>
            <w:r w:rsidRPr="007A1AA3">
              <w:t>Reimbursement</w:t>
            </w:r>
            <w:r w:rsidRPr="001E1DFE">
              <w:t xml:space="preserve"> Requirements</w:t>
            </w:r>
          </w:p>
        </w:tc>
      </w:tr>
      <w:tr w:rsidR="007D6F27" w:rsidTr="007D6F27">
        <w:trPr>
          <w:gridBefore w:val="1"/>
          <w:wBefore w:w="7" w:type="dxa"/>
          <w:cantSplit/>
        </w:trPr>
        <w:tc>
          <w:tcPr>
            <w:tcW w:w="1728" w:type="dxa"/>
            <w:gridSpan w:val="2"/>
          </w:tcPr>
          <w:p w:rsidR="007D6F27" w:rsidRDefault="007D6F27" w:rsidP="00511E44">
            <w:pPr>
              <w:pStyle w:val="level2"/>
            </w:pPr>
          </w:p>
        </w:tc>
        <w:tc>
          <w:tcPr>
            <w:tcW w:w="8532" w:type="dxa"/>
            <w:tcBorders>
              <w:left w:val="nil"/>
            </w:tcBorders>
          </w:tcPr>
          <w:p w:rsidR="007D6F27" w:rsidRDefault="007D6F27" w:rsidP="00511E44">
            <w:pPr>
              <w:pStyle w:val="TableText"/>
            </w:pPr>
          </w:p>
        </w:tc>
      </w:tr>
      <w:tr w:rsidR="00675EE3" w:rsidTr="007D6F27">
        <w:trPr>
          <w:gridBefore w:val="1"/>
          <w:wBefore w:w="7" w:type="dxa"/>
          <w:cantSplit/>
        </w:trPr>
        <w:tc>
          <w:tcPr>
            <w:tcW w:w="1728" w:type="dxa"/>
            <w:gridSpan w:val="2"/>
          </w:tcPr>
          <w:p w:rsidR="00675EE3" w:rsidRPr="00EE5048" w:rsidRDefault="005D6888" w:rsidP="00511E44">
            <w:pPr>
              <w:pStyle w:val="level2"/>
            </w:pPr>
            <w:bookmarkStart w:id="276" w:name="_Toc215908257"/>
            <w:r>
              <w:t xml:space="preserve">Travel Expense </w:t>
            </w:r>
            <w:r w:rsidR="00675EE3" w:rsidRPr="00EE5048">
              <w:t xml:space="preserve">Reimbursement </w:t>
            </w:r>
            <w:bookmarkEnd w:id="276"/>
            <w:r w:rsidR="00675EE3">
              <w:t xml:space="preserve">Request </w:t>
            </w:r>
          </w:p>
        </w:tc>
        <w:tc>
          <w:tcPr>
            <w:tcW w:w="8532" w:type="dxa"/>
            <w:tcBorders>
              <w:left w:val="nil"/>
            </w:tcBorders>
          </w:tcPr>
          <w:p w:rsidR="00675EE3" w:rsidRDefault="00675EE3" w:rsidP="00511E44">
            <w:pPr>
              <w:pStyle w:val="TableText"/>
            </w:pPr>
            <w:r>
              <w:t xml:space="preserve">Travelers should submit the Travel Expense Reimbursement request to the Authorized Approver within 30 days after completion of the trip. In the case of continuous travel, the traveler should submit the </w:t>
            </w:r>
            <w:r w:rsidR="00573AE2">
              <w:t>reimbursement request</w:t>
            </w:r>
            <w:r>
              <w:t xml:space="preserve"> to the Authorized Approver within 30 days of the last day of travel for which reimbursement is requested.</w:t>
            </w:r>
          </w:p>
          <w:p w:rsidR="006A0C4B" w:rsidRDefault="006A0C4B" w:rsidP="00511E44">
            <w:pPr>
              <w:pStyle w:val="TableText"/>
            </w:pPr>
          </w:p>
          <w:p w:rsidR="00675EE3" w:rsidRDefault="00675EE3" w:rsidP="00511E44">
            <w:pPr>
              <w:pStyle w:val="TableText"/>
            </w:pPr>
            <w:r>
              <w:t>In all instances, the travel reimbursement must be submitted to the Authorized Approver within 60 days.</w:t>
            </w:r>
            <w:r w:rsidR="006A0C4B">
              <w:t xml:space="preserve"> </w:t>
            </w:r>
            <w:r w:rsidR="0091014E">
              <w:t>Expenses submitted after 60 days must be fully explained</w:t>
            </w:r>
            <w:r w:rsidR="007D6F27">
              <w:t xml:space="preserve"> and may be subject to tax</w:t>
            </w:r>
            <w:r w:rsidR="008E378F">
              <w:t>able income</w:t>
            </w:r>
            <w:r w:rsidR="0091014E">
              <w:t xml:space="preserve">. </w:t>
            </w:r>
            <w:hyperlink r:id="rId15" w:history="1">
              <w:r w:rsidR="004F6327" w:rsidRPr="004F6327">
                <w:rPr>
                  <w:rStyle w:val="Hyperlink"/>
                </w:rPr>
                <w:t xml:space="preserve"> IRS Pub 463)</w:t>
              </w:r>
            </w:hyperlink>
            <w:r w:rsidR="004F6327">
              <w:t>.</w:t>
            </w:r>
          </w:p>
          <w:p w:rsidR="00675EE3" w:rsidRDefault="00675EE3" w:rsidP="00511E44">
            <w:pPr>
              <w:pStyle w:val="TableText"/>
              <w:rPr>
                <w:i/>
                <w:sz w:val="12"/>
              </w:rPr>
            </w:pPr>
          </w:p>
          <w:p w:rsidR="00675EE3" w:rsidRDefault="00675EE3" w:rsidP="00155A7E">
            <w:pPr>
              <w:pStyle w:val="BulletText1"/>
              <w:ind w:left="0" w:firstLine="0"/>
              <w:rPr>
                <w:iCs/>
              </w:rPr>
            </w:pPr>
          </w:p>
        </w:tc>
      </w:tr>
      <w:tr w:rsidR="005D6888" w:rsidTr="007D6F27">
        <w:trPr>
          <w:gridBefore w:val="1"/>
          <w:wBefore w:w="7" w:type="dxa"/>
          <w:cantSplit/>
          <w:trHeight w:val="3456"/>
        </w:trPr>
        <w:tc>
          <w:tcPr>
            <w:tcW w:w="1728" w:type="dxa"/>
            <w:gridSpan w:val="2"/>
          </w:tcPr>
          <w:p w:rsidR="008E378F" w:rsidRDefault="008E378F" w:rsidP="007C18B4">
            <w:pPr>
              <w:pStyle w:val="level2"/>
            </w:pPr>
          </w:p>
          <w:p w:rsidR="00A2353A" w:rsidRPr="007C18B4" w:rsidRDefault="005D6888" w:rsidP="007C18B4">
            <w:pPr>
              <w:pStyle w:val="level2"/>
            </w:pPr>
            <w:r>
              <w:t>Documentation</w:t>
            </w:r>
            <w:r w:rsidRPr="00EE5048">
              <w:t xml:space="preserve"> Requirements</w:t>
            </w:r>
          </w:p>
          <w:p w:rsidR="00A2353A" w:rsidRDefault="00A2353A" w:rsidP="00C0371A">
            <w:pPr>
              <w:rPr>
                <w:b/>
                <w:sz w:val="22"/>
              </w:rPr>
            </w:pPr>
          </w:p>
          <w:p w:rsidR="00C0371A" w:rsidRPr="00EE5048" w:rsidRDefault="00C0371A" w:rsidP="00A2353A"/>
        </w:tc>
        <w:tc>
          <w:tcPr>
            <w:tcW w:w="8532" w:type="dxa"/>
          </w:tcPr>
          <w:p w:rsidR="008E378F" w:rsidRDefault="008E378F" w:rsidP="00511E44">
            <w:pPr>
              <w:rPr>
                <w:szCs w:val="24"/>
              </w:rPr>
            </w:pPr>
            <w:bookmarkStart w:id="277" w:name="_GoBack"/>
            <w:bookmarkEnd w:id="277"/>
          </w:p>
          <w:p w:rsidR="005D6888" w:rsidRDefault="005D6888" w:rsidP="00511E44">
            <w:pPr>
              <w:rPr>
                <w:szCs w:val="24"/>
              </w:rPr>
            </w:pPr>
            <w:r>
              <w:rPr>
                <w:szCs w:val="24"/>
              </w:rPr>
              <w:t xml:space="preserve">Although </w:t>
            </w:r>
            <w:r w:rsidRPr="006E24C1">
              <w:rPr>
                <w:b/>
                <w:szCs w:val="24"/>
              </w:rPr>
              <w:t>not all-inclusive</w:t>
            </w:r>
            <w:r>
              <w:rPr>
                <w:szCs w:val="24"/>
              </w:rPr>
              <w:t xml:space="preserve">, the following information is </w:t>
            </w:r>
            <w:r w:rsidRPr="000029D1">
              <w:rPr>
                <w:b/>
                <w:szCs w:val="24"/>
              </w:rPr>
              <w:t>required</w:t>
            </w:r>
            <w:r>
              <w:rPr>
                <w:szCs w:val="24"/>
              </w:rPr>
              <w:t xml:space="preserve"> for expe</w:t>
            </w:r>
            <w:r w:rsidR="00155A7E">
              <w:rPr>
                <w:szCs w:val="24"/>
              </w:rPr>
              <w:t>nse reimbursements:</w:t>
            </w:r>
          </w:p>
          <w:p w:rsidR="005D6888" w:rsidRDefault="005D6888" w:rsidP="00511E44">
            <w:pPr>
              <w:numPr>
                <w:ilvl w:val="0"/>
                <w:numId w:val="6"/>
              </w:numPr>
              <w:rPr>
                <w:szCs w:val="24"/>
              </w:rPr>
            </w:pPr>
            <w:r>
              <w:rPr>
                <w:szCs w:val="24"/>
              </w:rPr>
              <w:t xml:space="preserve">Business purpose for travel </w:t>
            </w:r>
          </w:p>
          <w:p w:rsidR="00D36356" w:rsidRPr="005D6888" w:rsidRDefault="00D36356" w:rsidP="00D36356">
            <w:pPr>
              <w:numPr>
                <w:ilvl w:val="0"/>
                <w:numId w:val="6"/>
              </w:numPr>
              <w:rPr>
                <w:szCs w:val="24"/>
              </w:rPr>
            </w:pPr>
            <w:r w:rsidRPr="005D6888">
              <w:rPr>
                <w:szCs w:val="24"/>
              </w:rPr>
              <w:t xml:space="preserve">Receipt for each expenditure of $75 or more </w:t>
            </w:r>
          </w:p>
          <w:p w:rsidR="009C1482" w:rsidRDefault="005D6888" w:rsidP="00511E44">
            <w:pPr>
              <w:numPr>
                <w:ilvl w:val="0"/>
                <w:numId w:val="6"/>
              </w:numPr>
              <w:rPr>
                <w:szCs w:val="24"/>
              </w:rPr>
            </w:pPr>
            <w:r w:rsidRPr="005D6888">
              <w:rPr>
                <w:szCs w:val="24"/>
              </w:rPr>
              <w:t>Itemized receipt for lodging</w:t>
            </w:r>
            <w:r w:rsidR="009C1482">
              <w:rPr>
                <w:szCs w:val="24"/>
              </w:rPr>
              <w:t xml:space="preserve"> (regardless of dollar amount)</w:t>
            </w:r>
          </w:p>
          <w:p w:rsidR="005D6888" w:rsidRDefault="009C1482" w:rsidP="00511E44">
            <w:pPr>
              <w:numPr>
                <w:ilvl w:val="0"/>
                <w:numId w:val="6"/>
              </w:numPr>
              <w:rPr>
                <w:szCs w:val="24"/>
              </w:rPr>
            </w:pPr>
            <w:r>
              <w:rPr>
                <w:szCs w:val="24"/>
              </w:rPr>
              <w:t>Itemized receipt for car rental</w:t>
            </w:r>
            <w:r w:rsidR="005D6888" w:rsidRPr="005D6888">
              <w:rPr>
                <w:szCs w:val="24"/>
              </w:rPr>
              <w:t xml:space="preserve"> </w:t>
            </w:r>
            <w:r>
              <w:rPr>
                <w:szCs w:val="24"/>
              </w:rPr>
              <w:t>(regardless of dollar amount)</w:t>
            </w:r>
          </w:p>
          <w:p w:rsidR="00C0371A" w:rsidRPr="006A41CE" w:rsidRDefault="009C1482" w:rsidP="006A41CE">
            <w:pPr>
              <w:numPr>
                <w:ilvl w:val="0"/>
                <w:numId w:val="6"/>
              </w:numPr>
              <w:rPr>
                <w:szCs w:val="24"/>
              </w:rPr>
            </w:pPr>
            <w:r>
              <w:rPr>
                <w:szCs w:val="24"/>
              </w:rPr>
              <w:t>Business purpos</w:t>
            </w:r>
            <w:r w:rsidR="00C0371A">
              <w:rPr>
                <w:szCs w:val="24"/>
              </w:rPr>
              <w:t>e for unusual fees (e.g.</w:t>
            </w:r>
            <w:r>
              <w:rPr>
                <w:szCs w:val="24"/>
              </w:rPr>
              <w:t xml:space="preserve"> change fees</w:t>
            </w:r>
            <w:r w:rsidR="00155A7E">
              <w:rPr>
                <w:szCs w:val="24"/>
              </w:rPr>
              <w:t>, phone calls)</w:t>
            </w:r>
          </w:p>
          <w:p w:rsidR="009C1482" w:rsidRDefault="00A2353A" w:rsidP="00A2353A">
            <w:pPr>
              <w:numPr>
                <w:ilvl w:val="0"/>
                <w:numId w:val="6"/>
              </w:numPr>
              <w:rPr>
                <w:szCs w:val="24"/>
              </w:rPr>
            </w:pPr>
            <w:r>
              <w:rPr>
                <w:szCs w:val="24"/>
              </w:rPr>
              <w:t xml:space="preserve">Personal &amp; </w:t>
            </w:r>
            <w:r w:rsidR="009D3218">
              <w:rPr>
                <w:szCs w:val="24"/>
              </w:rPr>
              <w:t xml:space="preserve">Business </w:t>
            </w:r>
            <w:r>
              <w:rPr>
                <w:szCs w:val="24"/>
              </w:rPr>
              <w:t xml:space="preserve">travel </w:t>
            </w:r>
            <w:r w:rsidR="00E9420D">
              <w:rPr>
                <w:szCs w:val="24"/>
              </w:rPr>
              <w:t>–</w:t>
            </w:r>
            <w:r>
              <w:rPr>
                <w:szCs w:val="24"/>
              </w:rPr>
              <w:t xml:space="preserve"> </w:t>
            </w:r>
            <w:r w:rsidR="00E9420D">
              <w:rPr>
                <w:szCs w:val="24"/>
              </w:rPr>
              <w:t>Collegiate Travel Planners (CTP)</w:t>
            </w:r>
            <w:r>
              <w:rPr>
                <w:szCs w:val="24"/>
              </w:rPr>
              <w:t xml:space="preserve"> documentation in the form of</w:t>
            </w:r>
            <w:r w:rsidR="006A710C">
              <w:rPr>
                <w:szCs w:val="24"/>
              </w:rPr>
              <w:t xml:space="preserve"> the </w:t>
            </w:r>
            <w:r>
              <w:rPr>
                <w:szCs w:val="24"/>
              </w:rPr>
              <w:t>OBT search page</w:t>
            </w:r>
            <w:r w:rsidR="000A2CD6">
              <w:rPr>
                <w:szCs w:val="24"/>
              </w:rPr>
              <w:t xml:space="preserve"> result</w:t>
            </w:r>
            <w:r>
              <w:rPr>
                <w:szCs w:val="24"/>
              </w:rPr>
              <w:t xml:space="preserve"> or agent email or “</w:t>
            </w:r>
            <w:proofErr w:type="spellStart"/>
            <w:r>
              <w:rPr>
                <w:szCs w:val="24"/>
              </w:rPr>
              <w:t>Airtinery</w:t>
            </w:r>
            <w:proofErr w:type="spellEnd"/>
            <w:r>
              <w:rPr>
                <w:szCs w:val="24"/>
              </w:rPr>
              <w:t xml:space="preserve">” showing the cost of the business portion only and must </w:t>
            </w:r>
            <w:r w:rsidR="006A710C">
              <w:rPr>
                <w:szCs w:val="24"/>
              </w:rPr>
              <w:t xml:space="preserve">reflect and </w:t>
            </w:r>
            <w:r>
              <w:rPr>
                <w:szCs w:val="24"/>
              </w:rPr>
              <w:t xml:space="preserve">be </w:t>
            </w:r>
            <w:r w:rsidR="00CD0F12">
              <w:rPr>
                <w:szCs w:val="24"/>
              </w:rPr>
              <w:t xml:space="preserve">from </w:t>
            </w:r>
            <w:r>
              <w:rPr>
                <w:szCs w:val="24"/>
              </w:rPr>
              <w:t xml:space="preserve">the same date </w:t>
            </w:r>
            <w:r w:rsidR="002844FD">
              <w:rPr>
                <w:szCs w:val="24"/>
              </w:rPr>
              <w:t xml:space="preserve">the </w:t>
            </w:r>
            <w:r>
              <w:rPr>
                <w:szCs w:val="24"/>
              </w:rPr>
              <w:t xml:space="preserve">trip is booked. </w:t>
            </w:r>
          </w:p>
          <w:p w:rsidR="008E378F" w:rsidRPr="00A2353A" w:rsidRDefault="008E378F" w:rsidP="008E378F">
            <w:pPr>
              <w:ind w:left="360"/>
              <w:rPr>
                <w:szCs w:val="24"/>
              </w:rPr>
            </w:pPr>
          </w:p>
        </w:tc>
      </w:tr>
      <w:tr w:rsidR="00A2353A" w:rsidTr="007D6F27">
        <w:trPr>
          <w:gridBefore w:val="1"/>
          <w:wBefore w:w="7" w:type="dxa"/>
          <w:cantSplit/>
        </w:trPr>
        <w:tc>
          <w:tcPr>
            <w:tcW w:w="1728" w:type="dxa"/>
            <w:gridSpan w:val="2"/>
          </w:tcPr>
          <w:p w:rsidR="00A2353A" w:rsidRPr="00C0371A" w:rsidRDefault="00A2353A" w:rsidP="00A2353A">
            <w:pPr>
              <w:rPr>
                <w:b/>
                <w:sz w:val="22"/>
              </w:rPr>
            </w:pPr>
            <w:r w:rsidRPr="00C0371A">
              <w:rPr>
                <w:b/>
                <w:sz w:val="22"/>
              </w:rPr>
              <w:t>Missing Receipts</w:t>
            </w:r>
          </w:p>
          <w:p w:rsidR="00A2353A" w:rsidRDefault="00A2353A" w:rsidP="00511E44">
            <w:pPr>
              <w:pStyle w:val="level2"/>
            </w:pPr>
          </w:p>
        </w:tc>
        <w:tc>
          <w:tcPr>
            <w:tcW w:w="8532" w:type="dxa"/>
          </w:tcPr>
          <w:p w:rsidR="00A2353A" w:rsidRDefault="00A2353A" w:rsidP="00A2353A">
            <w:pPr>
              <w:rPr>
                <w:szCs w:val="24"/>
              </w:rPr>
            </w:pPr>
            <w:r w:rsidRPr="00C0371A">
              <w:rPr>
                <w:szCs w:val="24"/>
              </w:rPr>
              <w:t xml:space="preserve">If a receipt is missing, the traveler must provide proof of payment in the form of a </w:t>
            </w:r>
            <w:r>
              <w:rPr>
                <w:szCs w:val="24"/>
              </w:rPr>
              <w:t xml:space="preserve">redacted </w:t>
            </w:r>
            <w:r w:rsidRPr="00C0371A">
              <w:rPr>
                <w:szCs w:val="24"/>
              </w:rPr>
              <w:t xml:space="preserve">credit card statement or copy </w:t>
            </w:r>
            <w:r>
              <w:rPr>
                <w:szCs w:val="24"/>
              </w:rPr>
              <w:t>of cashed check.</w:t>
            </w:r>
          </w:p>
          <w:p w:rsidR="00A2353A" w:rsidRDefault="00A2353A" w:rsidP="00511E44">
            <w:pPr>
              <w:rPr>
                <w:szCs w:val="24"/>
              </w:rPr>
            </w:pPr>
          </w:p>
        </w:tc>
      </w:tr>
      <w:tr w:rsidR="00793AE3" w:rsidTr="007D6F27">
        <w:trPr>
          <w:gridBefore w:val="1"/>
          <w:wBefore w:w="7" w:type="dxa"/>
          <w:cantSplit/>
        </w:trPr>
        <w:tc>
          <w:tcPr>
            <w:tcW w:w="1728" w:type="dxa"/>
            <w:gridSpan w:val="2"/>
          </w:tcPr>
          <w:p w:rsidR="00793AE3" w:rsidRPr="00EE5048" w:rsidRDefault="00793AE3" w:rsidP="00511E44">
            <w:pPr>
              <w:pStyle w:val="level2"/>
            </w:pPr>
            <w:bookmarkStart w:id="278" w:name="_Toc461526152"/>
            <w:bookmarkStart w:id="279" w:name="_Toc461527458"/>
            <w:bookmarkStart w:id="280" w:name="_Toc461527935"/>
            <w:bookmarkStart w:id="281" w:name="_Toc461870072"/>
            <w:bookmarkStart w:id="282" w:name="_Toc480969239"/>
            <w:bookmarkStart w:id="283" w:name="_Toc480969506"/>
            <w:bookmarkStart w:id="284" w:name="_Toc480969590"/>
            <w:bookmarkStart w:id="285" w:name="_Toc480969674"/>
            <w:bookmarkStart w:id="286" w:name="_Toc480969854"/>
            <w:bookmarkStart w:id="287" w:name="_Toc481206818"/>
            <w:bookmarkStart w:id="288" w:name="_Toc482757906"/>
            <w:bookmarkStart w:id="289" w:name="_Toc482758154"/>
            <w:bookmarkStart w:id="290" w:name="_Toc483016483"/>
            <w:bookmarkStart w:id="291" w:name="_Toc483795456"/>
            <w:bookmarkStart w:id="292" w:name="_Toc483798390"/>
            <w:bookmarkStart w:id="293" w:name="_Toc15887700"/>
            <w:bookmarkStart w:id="294" w:name="_Toc15888981"/>
            <w:bookmarkStart w:id="295" w:name="_Toc15889134"/>
            <w:bookmarkStart w:id="296" w:name="_Toc15889216"/>
            <w:bookmarkStart w:id="297" w:name="_Toc15889696"/>
            <w:bookmarkStart w:id="298" w:name="_Toc15889989"/>
            <w:bookmarkStart w:id="299" w:name="_Toc15959000"/>
            <w:bookmarkStart w:id="300" w:name="_Toc19433864"/>
            <w:bookmarkStart w:id="301" w:name="_Toc20124449"/>
            <w:bookmarkStart w:id="302" w:name="_Toc85964278"/>
            <w:bookmarkStart w:id="303" w:name="_Toc85964445"/>
            <w:bookmarkStart w:id="304" w:name="_Toc202077929"/>
            <w:bookmarkStart w:id="305" w:name="_Toc215908286"/>
            <w:r w:rsidRPr="00EE5048">
              <w:lastRenderedPageBreak/>
              <w:t>Disallowed Expenses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tc>
          <w:tcPr>
            <w:tcW w:w="8532" w:type="dxa"/>
          </w:tcPr>
          <w:p w:rsidR="00793AE3" w:rsidRDefault="00155A7E" w:rsidP="00155A7E">
            <w:r>
              <w:rPr>
                <w:szCs w:val="24"/>
              </w:rPr>
              <w:t xml:space="preserve">Although </w:t>
            </w:r>
            <w:r w:rsidRPr="006E24C1">
              <w:rPr>
                <w:b/>
                <w:szCs w:val="24"/>
              </w:rPr>
              <w:t>not all-inclusive</w:t>
            </w:r>
            <w:r>
              <w:rPr>
                <w:szCs w:val="24"/>
              </w:rPr>
              <w:t>, the following expenses are not reimbursable:</w:t>
            </w:r>
          </w:p>
          <w:p w:rsidR="00793AE3" w:rsidRDefault="00793AE3" w:rsidP="00511E44">
            <w:pPr>
              <w:pStyle w:val="BulletText1"/>
              <w:numPr>
                <w:ilvl w:val="0"/>
                <w:numId w:val="1"/>
              </w:numPr>
              <w:ind w:left="432" w:hanging="432"/>
            </w:pPr>
            <w:r>
              <w:t>Lost or stolen articles</w:t>
            </w:r>
          </w:p>
          <w:p w:rsidR="00793AE3" w:rsidRDefault="00793AE3" w:rsidP="00511E44">
            <w:pPr>
              <w:pStyle w:val="BulletText1"/>
              <w:numPr>
                <w:ilvl w:val="0"/>
                <w:numId w:val="1"/>
              </w:numPr>
              <w:ind w:left="432" w:hanging="432"/>
            </w:pPr>
            <w:r>
              <w:t>Damage to personal vehicles, clothing, or other items</w:t>
            </w:r>
          </w:p>
          <w:p w:rsidR="00793AE3" w:rsidRDefault="00793AE3" w:rsidP="00511E44">
            <w:pPr>
              <w:pStyle w:val="BulletText1"/>
              <w:numPr>
                <w:ilvl w:val="0"/>
                <w:numId w:val="1"/>
              </w:numPr>
              <w:ind w:left="432" w:hanging="432"/>
            </w:pPr>
            <w:r>
              <w:t>Services to gain entry to a locked vehicle</w:t>
            </w:r>
          </w:p>
          <w:p w:rsidR="00793AE3" w:rsidRDefault="00793AE3" w:rsidP="00511E44">
            <w:pPr>
              <w:pStyle w:val="BulletText1"/>
              <w:numPr>
                <w:ilvl w:val="0"/>
                <w:numId w:val="1"/>
              </w:numPr>
              <w:ind w:left="432" w:hanging="432"/>
            </w:pPr>
            <w:r>
              <w:t>Movies charged to hotel bills</w:t>
            </w:r>
          </w:p>
          <w:p w:rsidR="00793AE3" w:rsidRDefault="00793AE3" w:rsidP="00511E44">
            <w:pPr>
              <w:pStyle w:val="BulletText1"/>
              <w:numPr>
                <w:ilvl w:val="0"/>
                <w:numId w:val="1"/>
              </w:numPr>
              <w:ind w:left="432" w:hanging="432"/>
            </w:pPr>
            <w:r>
              <w:t>All expenses related to the personal negligence of the traveler, such as fines</w:t>
            </w:r>
          </w:p>
          <w:p w:rsidR="00793AE3" w:rsidRDefault="00793AE3" w:rsidP="00511E44">
            <w:pPr>
              <w:pStyle w:val="BulletText1"/>
              <w:numPr>
                <w:ilvl w:val="0"/>
                <w:numId w:val="1"/>
              </w:numPr>
              <w:ind w:left="432" w:hanging="432"/>
            </w:pPr>
            <w:r>
              <w:t>Towing charges and tickets for violations</w:t>
            </w:r>
          </w:p>
          <w:p w:rsidR="00793AE3" w:rsidRDefault="00793AE3" w:rsidP="00511E44">
            <w:pPr>
              <w:pStyle w:val="BulletText1"/>
              <w:numPr>
                <w:ilvl w:val="0"/>
                <w:numId w:val="1"/>
              </w:numPr>
              <w:ind w:left="432" w:hanging="432"/>
            </w:pPr>
            <w:r>
              <w:t>Expenses for children, spouses, and companions while on travel status</w:t>
            </w:r>
            <w:r w:rsidR="004E1C09">
              <w:t xml:space="preserve"> (car seats, cribs, etc.)</w:t>
            </w:r>
            <w:r>
              <w:t>.</w:t>
            </w:r>
          </w:p>
          <w:p w:rsidR="00A67F35" w:rsidRDefault="00A75B2E" w:rsidP="006560EE">
            <w:pPr>
              <w:pStyle w:val="BulletText1"/>
              <w:numPr>
                <w:ilvl w:val="0"/>
                <w:numId w:val="1"/>
              </w:numPr>
              <w:ind w:left="432" w:hanging="432"/>
            </w:pPr>
            <w:r>
              <w:t>Interest on credit cards</w:t>
            </w:r>
            <w:r w:rsidR="006560EE">
              <w:t xml:space="preserve"> </w:t>
            </w:r>
          </w:p>
          <w:p w:rsidR="006560EE" w:rsidRDefault="006560EE" w:rsidP="006560EE">
            <w:pPr>
              <w:pStyle w:val="BulletText1"/>
              <w:numPr>
                <w:ilvl w:val="0"/>
                <w:numId w:val="1"/>
              </w:numPr>
              <w:ind w:left="432" w:hanging="432"/>
            </w:pPr>
            <w:r>
              <w:t>Parking for employees attending meetings /training in a VCU owned or occupied space.</w:t>
            </w:r>
          </w:p>
          <w:p w:rsidR="006560EE" w:rsidRDefault="006560EE" w:rsidP="006560EE">
            <w:pPr>
              <w:pStyle w:val="BulletText1"/>
              <w:numPr>
                <w:ilvl w:val="0"/>
                <w:numId w:val="1"/>
              </w:numPr>
              <w:ind w:left="432" w:hanging="432"/>
            </w:pPr>
            <w:r>
              <w:t>Mileage between Monroe and MCV campuses.</w:t>
            </w:r>
          </w:p>
          <w:p w:rsidR="00066B04" w:rsidRDefault="00066B04" w:rsidP="006560EE">
            <w:pPr>
              <w:pStyle w:val="BulletText1"/>
              <w:numPr>
                <w:ilvl w:val="0"/>
                <w:numId w:val="1"/>
              </w:numPr>
              <w:ind w:left="432" w:hanging="432"/>
            </w:pPr>
            <w:r>
              <w:t>Mileage from home</w:t>
            </w:r>
            <w:r w:rsidR="001A1E5C">
              <w:t xml:space="preserve"> (base location)</w:t>
            </w:r>
            <w:r>
              <w:t xml:space="preserve"> to campus (Monroe or MCV)</w:t>
            </w:r>
          </w:p>
          <w:p w:rsidR="00D36356" w:rsidRDefault="00D73905" w:rsidP="00BE249E">
            <w:pPr>
              <w:pStyle w:val="BulletText1"/>
              <w:ind w:left="432" w:firstLine="0"/>
            </w:pPr>
            <w:r>
              <w:rPr>
                <w:highlight w:val="yellow"/>
              </w:rPr>
              <w:t xml:space="preserve"> </w:t>
            </w:r>
          </w:p>
        </w:tc>
      </w:tr>
      <w:tr w:rsidR="00285CD8" w:rsidRPr="00056A6B" w:rsidTr="007D6F27">
        <w:trPr>
          <w:gridBefore w:val="1"/>
          <w:wBefore w:w="7" w:type="dxa"/>
          <w:cantSplit/>
        </w:trPr>
        <w:tc>
          <w:tcPr>
            <w:tcW w:w="1728" w:type="dxa"/>
            <w:gridSpan w:val="2"/>
          </w:tcPr>
          <w:p w:rsidR="00285CD8" w:rsidRPr="00056A6B" w:rsidRDefault="005706EB" w:rsidP="003D651F">
            <w:pPr>
              <w:rPr>
                <w:b/>
              </w:rPr>
            </w:pPr>
            <w:r w:rsidRPr="004E1C09">
              <w:rPr>
                <w:b/>
              </w:rPr>
              <w:t>Exceptions</w:t>
            </w:r>
          </w:p>
        </w:tc>
        <w:tc>
          <w:tcPr>
            <w:tcW w:w="8532" w:type="dxa"/>
          </w:tcPr>
          <w:p w:rsidR="00285CD8" w:rsidRDefault="004F6327" w:rsidP="003D651F">
            <w:r w:rsidRPr="00C30715">
              <w:rPr>
                <w:b/>
              </w:rPr>
              <w:t>Any</w:t>
            </w:r>
            <w:r>
              <w:t xml:space="preserve"> e</w:t>
            </w:r>
            <w:r w:rsidR="005706EB">
              <w:t>xceptions must be paid with local funds and approved by the Vice President, Provost, Dean, or Executive Director.</w:t>
            </w:r>
          </w:p>
          <w:p w:rsidR="005706EB" w:rsidRPr="00056A6B" w:rsidRDefault="005706EB" w:rsidP="003D651F"/>
        </w:tc>
      </w:tr>
    </w:tbl>
    <w:p w:rsidR="004E1C09" w:rsidRDefault="004E1C09" w:rsidP="00ED1831">
      <w:pPr>
        <w:ind w:left="1440" w:hanging="1440"/>
      </w:pPr>
      <w:r>
        <w:tab/>
      </w:r>
      <w:r w:rsidR="0091014E">
        <w:t xml:space="preserve"> </w:t>
      </w:r>
    </w:p>
    <w:sectPr w:rsidR="004E1C09" w:rsidSect="00945456">
      <w:headerReference w:type="even" r:id="rId16"/>
      <w:headerReference w:type="default" r:id="rId17"/>
      <w:footerReference w:type="even" r:id="rId18"/>
      <w:footerReference w:type="default" r:id="rId19"/>
      <w:headerReference w:type="first" r:id="rId20"/>
      <w:footerReference w:type="first" r:id="rId21"/>
      <w:pgSz w:w="12240" w:h="15840" w:code="1"/>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121" w:rsidRDefault="00682121">
      <w:r>
        <w:separator/>
      </w:r>
    </w:p>
  </w:endnote>
  <w:endnote w:type="continuationSeparator" w:id="0">
    <w:p w:rsidR="00682121" w:rsidRDefault="0068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D32" w:rsidRDefault="004A1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1D32" w:rsidRDefault="004A1D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D32" w:rsidRDefault="004A1D32">
    <w:pPr>
      <w:pStyle w:val="Footer"/>
      <w:framePr w:wrap="around" w:vAnchor="text" w:hAnchor="margin" w:xAlign="right" w:y="1"/>
      <w:rPr>
        <w:rStyle w:val="PageNumber"/>
      </w:rPr>
    </w:pPr>
  </w:p>
  <w:p w:rsidR="004A1D32" w:rsidRDefault="00D82072">
    <w:pPr>
      <w:pStyle w:val="Footer"/>
      <w:tabs>
        <w:tab w:val="clear" w:pos="4320"/>
        <w:tab w:val="clear" w:pos="8640"/>
        <w:tab w:val="center" w:pos="5040"/>
        <w:tab w:val="right" w:pos="9900"/>
      </w:tabs>
      <w:ind w:right="360"/>
      <w:rPr>
        <w:sz w:val="20"/>
      </w:rPr>
    </w:pPr>
    <w:r>
      <w:rPr>
        <w:sz w:val="20"/>
      </w:rPr>
      <w:tab/>
    </w:r>
    <w:r w:rsidR="0024636F">
      <w:rPr>
        <w:sz w:val="20"/>
      </w:rPr>
      <w:tab/>
      <w:t>Revised</w:t>
    </w:r>
    <w:r>
      <w:rPr>
        <w:sz w:val="20"/>
      </w:rPr>
      <w:t xml:space="preserve"> </w:t>
    </w:r>
    <w:r w:rsidR="004C2445">
      <w:rPr>
        <w:sz w:val="20"/>
      </w:rPr>
      <w:t>Sept</w:t>
    </w:r>
    <w:r w:rsidR="004118A2">
      <w:rPr>
        <w:sz w:val="20"/>
      </w:rPr>
      <w:t xml:space="preserve"> 20</w:t>
    </w:r>
    <w:r w:rsidR="001865A3">
      <w:rPr>
        <w:sz w:val="20"/>
      </w:rPr>
      <w:t>23</w:t>
    </w:r>
  </w:p>
  <w:p w:rsidR="004A1D32" w:rsidRDefault="004A1D32">
    <w:pPr>
      <w:pStyle w:val="Footer"/>
      <w:tabs>
        <w:tab w:val="clear" w:pos="4320"/>
        <w:tab w:val="clear" w:pos="8640"/>
        <w:tab w:val="center" w:pos="5040"/>
        <w:tab w:val="right" w:pos="9900"/>
      </w:tabs>
      <w:ind w:right="360"/>
      <w:rPr>
        <w:rFonts w:ascii="Helvetica" w:hAnsi="Helvetica"/>
      </w:rPr>
    </w:pPr>
    <w:bookmarkStart w:id="306" w:name="_Toc377805821"/>
    <w:bookmarkStart w:id="307" w:name="_Toc377887328"/>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0D0E2B">
      <w:rPr>
        <w:rStyle w:val="PageNumber"/>
        <w:noProof/>
        <w:sz w:val="20"/>
      </w:rPr>
      <w:t>1</w:t>
    </w:r>
    <w:r>
      <w:rPr>
        <w:rStyle w:val="PageNumber"/>
        <w:sz w:val="20"/>
      </w:rPr>
      <w:fldChar w:fldCharType="end"/>
    </w:r>
    <w:bookmarkStart w:id="308" w:name="_Toc377805817"/>
    <w:bookmarkStart w:id="309" w:name="_Toc377887324"/>
    <w:bookmarkStart w:id="310" w:name="_Toc378566371"/>
    <w:bookmarkStart w:id="311" w:name="_Toc378995113"/>
    <w:bookmarkStart w:id="312" w:name="_Toc379259353"/>
    <w:bookmarkStart w:id="313" w:name="_Toc379275312"/>
    <w:bookmarkStart w:id="314" w:name="_Toc379615675"/>
    <w:bookmarkStart w:id="315" w:name="_Toc379706995"/>
    <w:bookmarkStart w:id="316" w:name="_Toc379789011"/>
    <w:bookmarkStart w:id="317" w:name="_Toc379791389"/>
    <w:bookmarkStart w:id="318" w:name="_Toc379791909"/>
    <w:bookmarkStart w:id="319" w:name="_Toc380288895"/>
    <w:bookmarkStart w:id="320" w:name="_Toc380289505"/>
    <w:bookmarkStart w:id="321" w:name="_Toc380291366"/>
    <w:bookmarkStart w:id="322" w:name="_Toc381072270"/>
    <w:bookmarkStart w:id="323" w:name="_Toc382118767"/>
    <w:bookmarkStart w:id="324" w:name="_Toc385037674"/>
    <w:bookmarkStart w:id="325" w:name="_Toc461526104"/>
    <w:bookmarkStart w:id="326" w:name="_Toc461527417"/>
    <w:bookmarkStart w:id="327" w:name="_Toc461527896"/>
    <w:bookmarkStart w:id="328" w:name="_Toc461870031"/>
    <w:bookmarkStart w:id="329" w:name="_Toc480969150"/>
    <w:bookmarkStart w:id="330" w:name="_Toc480969194"/>
    <w:bookmarkStart w:id="331" w:name="_Toc480969462"/>
    <w:bookmarkStart w:id="332" w:name="_Toc480969546"/>
    <w:bookmarkStart w:id="333" w:name="_Toc480969630"/>
    <w:bookmarkStart w:id="334" w:name="_Toc480969810"/>
    <w:bookmarkStart w:id="335" w:name="_Toc481206774"/>
    <w:bookmarkStart w:id="336" w:name="_Toc482757865"/>
    <w:bookmarkStart w:id="337" w:name="_Toc482758113"/>
    <w:bookmarkStart w:id="338" w:name="_Toc483016443"/>
    <w:bookmarkStart w:id="339" w:name="_Toc483795416"/>
    <w:r>
      <w:rPr>
        <w:sz w:val="20"/>
      </w:rPr>
      <w:tab/>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45" w:rsidRDefault="004C2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121" w:rsidRDefault="00682121">
      <w:r>
        <w:separator/>
      </w:r>
    </w:p>
  </w:footnote>
  <w:footnote w:type="continuationSeparator" w:id="0">
    <w:p w:rsidR="00682121" w:rsidRDefault="00682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45" w:rsidRDefault="004C2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D32" w:rsidRDefault="00682121">
    <w:pPr>
      <w:pStyle w:val="Header"/>
    </w:pPr>
    <w:r>
      <w:fldChar w:fldCharType="begin"/>
    </w:r>
    <w:r>
      <w:instrText xml:space="preserve"> TITLE  "VCU TRAVEL GUIDELINES</w:instrText>
    </w:r>
    <w:r>
      <w:instrText xml:space="preserve"> &amp; PROCEDURES"  \* MERGEFORMAT </w:instrText>
    </w:r>
    <w:r>
      <w:fldChar w:fldCharType="separate"/>
    </w:r>
    <w:r w:rsidR="00A67F35">
      <w:t>VCU TRAVEL GUIDELINES &amp; PROCEDURES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45" w:rsidRDefault="004C2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F20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A147E7"/>
    <w:multiLevelType w:val="singleLevel"/>
    <w:tmpl w:val="0F08EC0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A6034D"/>
    <w:multiLevelType w:val="hybridMultilevel"/>
    <w:tmpl w:val="AE5225E2"/>
    <w:lvl w:ilvl="0" w:tplc="CC4C3BC2">
      <w:start w:val="1"/>
      <w:numFmt w:val="bullet"/>
      <w:lvlText w:val=""/>
      <w:lvlJc w:val="left"/>
      <w:pPr>
        <w:tabs>
          <w:tab w:val="num" w:pos="720"/>
        </w:tabs>
        <w:ind w:left="720" w:hanging="360"/>
      </w:pPr>
      <w:rPr>
        <w:rFonts w:ascii="Symbol" w:hAnsi="Symbol" w:hint="default"/>
      </w:rPr>
    </w:lvl>
    <w:lvl w:ilvl="1" w:tplc="D1B49AE0" w:tentative="1">
      <w:start w:val="1"/>
      <w:numFmt w:val="bullet"/>
      <w:lvlText w:val="o"/>
      <w:lvlJc w:val="left"/>
      <w:pPr>
        <w:tabs>
          <w:tab w:val="num" w:pos="1440"/>
        </w:tabs>
        <w:ind w:left="1440" w:hanging="360"/>
      </w:pPr>
      <w:rPr>
        <w:rFonts w:ascii="Courier New" w:hAnsi="Courier New" w:hint="default"/>
      </w:rPr>
    </w:lvl>
    <w:lvl w:ilvl="2" w:tplc="FFC6002C" w:tentative="1">
      <w:start w:val="1"/>
      <w:numFmt w:val="bullet"/>
      <w:lvlText w:val=""/>
      <w:lvlJc w:val="left"/>
      <w:pPr>
        <w:tabs>
          <w:tab w:val="num" w:pos="2160"/>
        </w:tabs>
        <w:ind w:left="2160" w:hanging="360"/>
      </w:pPr>
      <w:rPr>
        <w:rFonts w:ascii="Wingdings" w:hAnsi="Wingdings" w:hint="default"/>
      </w:rPr>
    </w:lvl>
    <w:lvl w:ilvl="3" w:tplc="17E04DD2" w:tentative="1">
      <w:start w:val="1"/>
      <w:numFmt w:val="bullet"/>
      <w:lvlText w:val=""/>
      <w:lvlJc w:val="left"/>
      <w:pPr>
        <w:tabs>
          <w:tab w:val="num" w:pos="2880"/>
        </w:tabs>
        <w:ind w:left="2880" w:hanging="360"/>
      </w:pPr>
      <w:rPr>
        <w:rFonts w:ascii="Symbol" w:hAnsi="Symbol" w:hint="default"/>
      </w:rPr>
    </w:lvl>
    <w:lvl w:ilvl="4" w:tplc="E984018A" w:tentative="1">
      <w:start w:val="1"/>
      <w:numFmt w:val="bullet"/>
      <w:lvlText w:val="o"/>
      <w:lvlJc w:val="left"/>
      <w:pPr>
        <w:tabs>
          <w:tab w:val="num" w:pos="3600"/>
        </w:tabs>
        <w:ind w:left="3600" w:hanging="360"/>
      </w:pPr>
      <w:rPr>
        <w:rFonts w:ascii="Courier New" w:hAnsi="Courier New" w:hint="default"/>
      </w:rPr>
    </w:lvl>
    <w:lvl w:ilvl="5" w:tplc="71B00984" w:tentative="1">
      <w:start w:val="1"/>
      <w:numFmt w:val="bullet"/>
      <w:lvlText w:val=""/>
      <w:lvlJc w:val="left"/>
      <w:pPr>
        <w:tabs>
          <w:tab w:val="num" w:pos="4320"/>
        </w:tabs>
        <w:ind w:left="4320" w:hanging="360"/>
      </w:pPr>
      <w:rPr>
        <w:rFonts w:ascii="Wingdings" w:hAnsi="Wingdings" w:hint="default"/>
      </w:rPr>
    </w:lvl>
    <w:lvl w:ilvl="6" w:tplc="51383434" w:tentative="1">
      <w:start w:val="1"/>
      <w:numFmt w:val="bullet"/>
      <w:lvlText w:val=""/>
      <w:lvlJc w:val="left"/>
      <w:pPr>
        <w:tabs>
          <w:tab w:val="num" w:pos="5040"/>
        </w:tabs>
        <w:ind w:left="5040" w:hanging="360"/>
      </w:pPr>
      <w:rPr>
        <w:rFonts w:ascii="Symbol" w:hAnsi="Symbol" w:hint="default"/>
      </w:rPr>
    </w:lvl>
    <w:lvl w:ilvl="7" w:tplc="0B761F10" w:tentative="1">
      <w:start w:val="1"/>
      <w:numFmt w:val="bullet"/>
      <w:lvlText w:val="o"/>
      <w:lvlJc w:val="left"/>
      <w:pPr>
        <w:tabs>
          <w:tab w:val="num" w:pos="5760"/>
        </w:tabs>
        <w:ind w:left="5760" w:hanging="360"/>
      </w:pPr>
      <w:rPr>
        <w:rFonts w:ascii="Courier New" w:hAnsi="Courier New" w:hint="default"/>
      </w:rPr>
    </w:lvl>
    <w:lvl w:ilvl="8" w:tplc="FA5663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26CE3"/>
    <w:multiLevelType w:val="hybridMultilevel"/>
    <w:tmpl w:val="D666A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A5CA2"/>
    <w:multiLevelType w:val="singleLevel"/>
    <w:tmpl w:val="11F2CCD8"/>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0C6A719D"/>
    <w:multiLevelType w:val="hybridMultilevel"/>
    <w:tmpl w:val="E8C8E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C67090"/>
    <w:multiLevelType w:val="multilevel"/>
    <w:tmpl w:val="2202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D24BC2"/>
    <w:multiLevelType w:val="hybridMultilevel"/>
    <w:tmpl w:val="531A61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5464AC3"/>
    <w:multiLevelType w:val="hybridMultilevel"/>
    <w:tmpl w:val="83CCBCB8"/>
    <w:lvl w:ilvl="0" w:tplc="0F08EC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27CC4"/>
    <w:multiLevelType w:val="singleLevel"/>
    <w:tmpl w:val="E41CBD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356337"/>
    <w:multiLevelType w:val="singleLevel"/>
    <w:tmpl w:val="0F08EC0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82194B"/>
    <w:multiLevelType w:val="hybridMultilevel"/>
    <w:tmpl w:val="F2CAE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55164"/>
    <w:multiLevelType w:val="hybridMultilevel"/>
    <w:tmpl w:val="7C66B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32CA4"/>
    <w:multiLevelType w:val="hybridMultilevel"/>
    <w:tmpl w:val="07B2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6A3D70"/>
    <w:multiLevelType w:val="singleLevel"/>
    <w:tmpl w:val="04090001"/>
    <w:lvl w:ilvl="0">
      <w:start w:val="1"/>
      <w:numFmt w:val="bullet"/>
      <w:lvlText w:val=""/>
      <w:lvlJc w:val="left"/>
      <w:pPr>
        <w:ind w:left="360" w:hanging="360"/>
      </w:pPr>
      <w:rPr>
        <w:rFonts w:ascii="Symbol" w:hAnsi="Symbol" w:hint="default"/>
      </w:rPr>
    </w:lvl>
  </w:abstractNum>
  <w:abstractNum w:abstractNumId="16" w15:restartNumberingAfterBreak="0">
    <w:nsid w:val="2D5C6042"/>
    <w:multiLevelType w:val="hybridMultilevel"/>
    <w:tmpl w:val="2056D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156357"/>
    <w:multiLevelType w:val="multilevel"/>
    <w:tmpl w:val="688068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2FE2356B"/>
    <w:multiLevelType w:val="singleLevel"/>
    <w:tmpl w:val="0F08EC0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133B09"/>
    <w:multiLevelType w:val="singleLevel"/>
    <w:tmpl w:val="0F08EC0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9C41A2"/>
    <w:multiLevelType w:val="singleLevel"/>
    <w:tmpl w:val="0F08EC0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CD00DE"/>
    <w:multiLevelType w:val="singleLevel"/>
    <w:tmpl w:val="0F08EC0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2460A6"/>
    <w:multiLevelType w:val="hybridMultilevel"/>
    <w:tmpl w:val="3C40E20E"/>
    <w:lvl w:ilvl="0" w:tplc="0F08EC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02F01"/>
    <w:multiLevelType w:val="hybridMultilevel"/>
    <w:tmpl w:val="A6790B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886729D"/>
    <w:multiLevelType w:val="hybridMultilevel"/>
    <w:tmpl w:val="72D86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783F36"/>
    <w:multiLevelType w:val="hybridMultilevel"/>
    <w:tmpl w:val="8D80D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0751E"/>
    <w:multiLevelType w:val="hybridMultilevel"/>
    <w:tmpl w:val="8988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B94CCA"/>
    <w:multiLevelType w:val="hybridMultilevel"/>
    <w:tmpl w:val="67E2B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E112D8"/>
    <w:multiLevelType w:val="singleLevel"/>
    <w:tmpl w:val="11F2CCD8"/>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5AF5382E"/>
    <w:multiLevelType w:val="hybridMultilevel"/>
    <w:tmpl w:val="0A2C8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9E5C90"/>
    <w:multiLevelType w:val="hybridMultilevel"/>
    <w:tmpl w:val="A6AEFEC0"/>
    <w:lvl w:ilvl="0" w:tplc="0F08EC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9F0EEF"/>
    <w:multiLevelType w:val="hybridMultilevel"/>
    <w:tmpl w:val="430EE80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A0D1D"/>
    <w:multiLevelType w:val="hybridMultilevel"/>
    <w:tmpl w:val="AB92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236C4"/>
    <w:multiLevelType w:val="hybridMultilevel"/>
    <w:tmpl w:val="85A0D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437A02"/>
    <w:multiLevelType w:val="singleLevel"/>
    <w:tmpl w:val="0F08EC0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3C0D6D"/>
    <w:multiLevelType w:val="singleLevel"/>
    <w:tmpl w:val="94D655AE"/>
    <w:lvl w:ilvl="0">
      <w:numFmt w:val="bullet"/>
      <w:lvlText w:val=""/>
      <w:lvlJc w:val="left"/>
      <w:pPr>
        <w:tabs>
          <w:tab w:val="num" w:pos="360"/>
        </w:tabs>
        <w:ind w:left="360" w:hanging="360"/>
      </w:pPr>
      <w:rPr>
        <w:rFonts w:ascii="Wingdings" w:hAnsi="Wingdings" w:hint="default"/>
      </w:rPr>
    </w:lvl>
  </w:abstractNum>
  <w:abstractNum w:abstractNumId="36" w15:restartNumberingAfterBreak="0">
    <w:nsid w:val="69BA55AF"/>
    <w:multiLevelType w:val="hybridMultilevel"/>
    <w:tmpl w:val="52141F02"/>
    <w:lvl w:ilvl="0" w:tplc="0F08EC0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960457"/>
    <w:multiLevelType w:val="multilevel"/>
    <w:tmpl w:val="688068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CB52738"/>
    <w:multiLevelType w:val="hybridMultilevel"/>
    <w:tmpl w:val="A56CB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036C19"/>
    <w:multiLevelType w:val="singleLevel"/>
    <w:tmpl w:val="75CC82B2"/>
    <w:lvl w:ilvl="0">
      <w:numFmt w:val="bullet"/>
      <w:lvlText w:val=""/>
      <w:lvlJc w:val="left"/>
      <w:pPr>
        <w:tabs>
          <w:tab w:val="num" w:pos="390"/>
        </w:tabs>
        <w:ind w:left="390" w:hanging="390"/>
      </w:pPr>
      <w:rPr>
        <w:rFonts w:ascii="Wingdings" w:hAnsi="Wingdings" w:hint="default"/>
        <w:b w:val="0"/>
      </w:rPr>
    </w:lvl>
  </w:abstractNum>
  <w:abstractNum w:abstractNumId="40" w15:restartNumberingAfterBreak="0">
    <w:nsid w:val="773878CB"/>
    <w:multiLevelType w:val="multilevel"/>
    <w:tmpl w:val="A44C84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7D7E26F0"/>
    <w:multiLevelType w:val="hybridMultilevel"/>
    <w:tmpl w:val="CE0AC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2">
    <w:abstractNumId w:val="1"/>
    <w:lvlOverride w:ilvl="0">
      <w:lvl w:ilvl="0">
        <w:start w:val="1"/>
        <w:numFmt w:val="bullet"/>
        <w:lvlText w:val=""/>
        <w:legacy w:legacy="1" w:legacySpace="0" w:legacyIndent="162"/>
        <w:lvlJc w:val="left"/>
        <w:pPr>
          <w:ind w:left="162" w:hanging="162"/>
        </w:pPr>
        <w:rPr>
          <w:rFonts w:ascii="Symbol" w:hAnsi="Symbol" w:hint="default"/>
        </w:rPr>
      </w:lvl>
    </w:lvlOverride>
  </w:num>
  <w:num w:numId="3">
    <w:abstractNumId w:val="5"/>
  </w:num>
  <w:num w:numId="4">
    <w:abstractNumId w:val="28"/>
  </w:num>
  <w:num w:numId="5">
    <w:abstractNumId w:val="18"/>
  </w:num>
  <w:num w:numId="6">
    <w:abstractNumId w:val="15"/>
  </w:num>
  <w:num w:numId="7">
    <w:abstractNumId w:val="21"/>
  </w:num>
  <w:num w:numId="8">
    <w:abstractNumId w:val="34"/>
  </w:num>
  <w:num w:numId="9">
    <w:abstractNumId w:val="19"/>
  </w:num>
  <w:num w:numId="10">
    <w:abstractNumId w:val="11"/>
  </w:num>
  <w:num w:numId="11">
    <w:abstractNumId w:val="3"/>
  </w:num>
  <w:num w:numId="12">
    <w:abstractNumId w:val="2"/>
  </w:num>
  <w:num w:numId="13">
    <w:abstractNumId w:val="39"/>
  </w:num>
  <w:num w:numId="14">
    <w:abstractNumId w:val="35"/>
  </w:num>
  <w:num w:numId="15">
    <w:abstractNumId w:val="20"/>
  </w:num>
  <w:num w:numId="16">
    <w:abstractNumId w:val="10"/>
  </w:num>
  <w:num w:numId="17">
    <w:abstractNumId w:val="14"/>
  </w:num>
  <w:num w:numId="18">
    <w:abstractNumId w:val="38"/>
  </w:num>
  <w:num w:numId="19">
    <w:abstractNumId w:val="33"/>
  </w:num>
  <w:num w:numId="20">
    <w:abstractNumId w:val="4"/>
  </w:num>
  <w:num w:numId="21">
    <w:abstractNumId w:val="12"/>
  </w:num>
  <w:num w:numId="22">
    <w:abstractNumId w:val="24"/>
  </w:num>
  <w:num w:numId="23">
    <w:abstractNumId w:val="41"/>
  </w:num>
  <w:num w:numId="24">
    <w:abstractNumId w:val="26"/>
  </w:num>
  <w:num w:numId="25">
    <w:abstractNumId w:val="32"/>
  </w:num>
  <w:num w:numId="26">
    <w:abstractNumId w:val="27"/>
  </w:num>
  <w:num w:numId="27">
    <w:abstractNumId w:val="25"/>
  </w:num>
  <w:num w:numId="28">
    <w:abstractNumId w:val="30"/>
  </w:num>
  <w:num w:numId="29">
    <w:abstractNumId w:val="36"/>
  </w:num>
  <w:num w:numId="30">
    <w:abstractNumId w:val="23"/>
  </w:num>
  <w:num w:numId="31">
    <w:abstractNumId w:val="31"/>
  </w:num>
  <w:num w:numId="32">
    <w:abstractNumId w:val="6"/>
  </w:num>
  <w:num w:numId="33">
    <w:abstractNumId w:val="8"/>
  </w:num>
  <w:num w:numId="34">
    <w:abstractNumId w:val="16"/>
  </w:num>
  <w:num w:numId="35">
    <w:abstractNumId w:val="13"/>
  </w:num>
  <w:num w:numId="36">
    <w:abstractNumId w:val="0"/>
  </w:num>
  <w:num w:numId="37">
    <w:abstractNumId w:val="37"/>
  </w:num>
  <w:num w:numId="38">
    <w:abstractNumId w:val="40"/>
  </w:num>
  <w:num w:numId="39">
    <w:abstractNumId w:val="17"/>
  </w:num>
  <w:num w:numId="40">
    <w:abstractNumId w:val="9"/>
  </w:num>
  <w:num w:numId="41">
    <w:abstractNumId w:val="22"/>
  </w:num>
  <w:num w:numId="42">
    <w:abstractNumId w:val="7"/>
  </w:num>
  <w:num w:numId="43">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91"/>
    <w:rsid w:val="000029D1"/>
    <w:rsid w:val="00015A7E"/>
    <w:rsid w:val="00017880"/>
    <w:rsid w:val="000244B7"/>
    <w:rsid w:val="0003189F"/>
    <w:rsid w:val="00034B8D"/>
    <w:rsid w:val="00035A37"/>
    <w:rsid w:val="000362D8"/>
    <w:rsid w:val="00036A60"/>
    <w:rsid w:val="00037986"/>
    <w:rsid w:val="00042075"/>
    <w:rsid w:val="00046C18"/>
    <w:rsid w:val="00047A91"/>
    <w:rsid w:val="00056A6B"/>
    <w:rsid w:val="000662B3"/>
    <w:rsid w:val="00066954"/>
    <w:rsid w:val="00066B04"/>
    <w:rsid w:val="00070CF7"/>
    <w:rsid w:val="00070DE1"/>
    <w:rsid w:val="0007193B"/>
    <w:rsid w:val="0007375A"/>
    <w:rsid w:val="0009090E"/>
    <w:rsid w:val="00093438"/>
    <w:rsid w:val="00096081"/>
    <w:rsid w:val="000A0DFD"/>
    <w:rsid w:val="000A12B6"/>
    <w:rsid w:val="000A21CF"/>
    <w:rsid w:val="000A2CD6"/>
    <w:rsid w:val="000A5C08"/>
    <w:rsid w:val="000B5A8F"/>
    <w:rsid w:val="000C0111"/>
    <w:rsid w:val="000C02EA"/>
    <w:rsid w:val="000C3A31"/>
    <w:rsid w:val="000C5692"/>
    <w:rsid w:val="000C630E"/>
    <w:rsid w:val="000C73B8"/>
    <w:rsid w:val="000D0E2B"/>
    <w:rsid w:val="000D48A6"/>
    <w:rsid w:val="000D4A6D"/>
    <w:rsid w:val="000E1B54"/>
    <w:rsid w:val="000E2209"/>
    <w:rsid w:val="000F1F95"/>
    <w:rsid w:val="000F2302"/>
    <w:rsid w:val="000F4C28"/>
    <w:rsid w:val="001020D0"/>
    <w:rsid w:val="00102BF8"/>
    <w:rsid w:val="00110165"/>
    <w:rsid w:val="00116661"/>
    <w:rsid w:val="001167E2"/>
    <w:rsid w:val="00120214"/>
    <w:rsid w:val="00121AD4"/>
    <w:rsid w:val="001300BB"/>
    <w:rsid w:val="00130EF1"/>
    <w:rsid w:val="00132C10"/>
    <w:rsid w:val="001364C4"/>
    <w:rsid w:val="00137C62"/>
    <w:rsid w:val="00142A8C"/>
    <w:rsid w:val="00152951"/>
    <w:rsid w:val="00155A7E"/>
    <w:rsid w:val="00161198"/>
    <w:rsid w:val="00162442"/>
    <w:rsid w:val="001865A3"/>
    <w:rsid w:val="0018734A"/>
    <w:rsid w:val="00194DD1"/>
    <w:rsid w:val="00195C55"/>
    <w:rsid w:val="00197482"/>
    <w:rsid w:val="001A1E5C"/>
    <w:rsid w:val="001B2D71"/>
    <w:rsid w:val="001B557F"/>
    <w:rsid w:val="001B5B80"/>
    <w:rsid w:val="001B7870"/>
    <w:rsid w:val="001C0680"/>
    <w:rsid w:val="001C12F5"/>
    <w:rsid w:val="001C27BE"/>
    <w:rsid w:val="001C31BF"/>
    <w:rsid w:val="001C3BFA"/>
    <w:rsid w:val="001C72A1"/>
    <w:rsid w:val="001D1BB4"/>
    <w:rsid w:val="001D7AB7"/>
    <w:rsid w:val="001E1C69"/>
    <w:rsid w:val="001E1DFE"/>
    <w:rsid w:val="001F4393"/>
    <w:rsid w:val="001F75B5"/>
    <w:rsid w:val="002017C1"/>
    <w:rsid w:val="0020239C"/>
    <w:rsid w:val="00203D3F"/>
    <w:rsid w:val="00204D43"/>
    <w:rsid w:val="0022355D"/>
    <w:rsid w:val="00225F32"/>
    <w:rsid w:val="00225FC7"/>
    <w:rsid w:val="00226B2A"/>
    <w:rsid w:val="00244D4D"/>
    <w:rsid w:val="0024636F"/>
    <w:rsid w:val="0024718F"/>
    <w:rsid w:val="002472CF"/>
    <w:rsid w:val="002522A9"/>
    <w:rsid w:val="00256ED4"/>
    <w:rsid w:val="00260B1E"/>
    <w:rsid w:val="0027011C"/>
    <w:rsid w:val="0027104C"/>
    <w:rsid w:val="00277C98"/>
    <w:rsid w:val="00282DE8"/>
    <w:rsid w:val="002844FD"/>
    <w:rsid w:val="00285CD8"/>
    <w:rsid w:val="00287393"/>
    <w:rsid w:val="0029048F"/>
    <w:rsid w:val="00297C87"/>
    <w:rsid w:val="002A067C"/>
    <w:rsid w:val="002A0D82"/>
    <w:rsid w:val="002A1CE1"/>
    <w:rsid w:val="002A6ECF"/>
    <w:rsid w:val="002B695D"/>
    <w:rsid w:val="002C1576"/>
    <w:rsid w:val="002D2A5E"/>
    <w:rsid w:val="002D3D3D"/>
    <w:rsid w:val="002D4536"/>
    <w:rsid w:val="002D50BE"/>
    <w:rsid w:val="002E0212"/>
    <w:rsid w:val="002E0EED"/>
    <w:rsid w:val="00303ED8"/>
    <w:rsid w:val="00305A35"/>
    <w:rsid w:val="0031351C"/>
    <w:rsid w:val="00316EEE"/>
    <w:rsid w:val="003211A4"/>
    <w:rsid w:val="003212AF"/>
    <w:rsid w:val="003224A6"/>
    <w:rsid w:val="00324DEF"/>
    <w:rsid w:val="003252C5"/>
    <w:rsid w:val="003269C8"/>
    <w:rsid w:val="00327E7C"/>
    <w:rsid w:val="00336C52"/>
    <w:rsid w:val="00345B5C"/>
    <w:rsid w:val="00346BCC"/>
    <w:rsid w:val="003544CE"/>
    <w:rsid w:val="00357D65"/>
    <w:rsid w:val="00360101"/>
    <w:rsid w:val="00360B4D"/>
    <w:rsid w:val="00361506"/>
    <w:rsid w:val="00363CE1"/>
    <w:rsid w:val="00364DE7"/>
    <w:rsid w:val="00371207"/>
    <w:rsid w:val="003718FF"/>
    <w:rsid w:val="003719B1"/>
    <w:rsid w:val="00371EB2"/>
    <w:rsid w:val="0037789F"/>
    <w:rsid w:val="00377E9D"/>
    <w:rsid w:val="003818E3"/>
    <w:rsid w:val="0038346B"/>
    <w:rsid w:val="00383A44"/>
    <w:rsid w:val="00383A4C"/>
    <w:rsid w:val="00384328"/>
    <w:rsid w:val="0038635B"/>
    <w:rsid w:val="00393CEE"/>
    <w:rsid w:val="00395B61"/>
    <w:rsid w:val="00397C8D"/>
    <w:rsid w:val="003B0480"/>
    <w:rsid w:val="003B288B"/>
    <w:rsid w:val="003B70E7"/>
    <w:rsid w:val="003C54F6"/>
    <w:rsid w:val="003D3505"/>
    <w:rsid w:val="003D651F"/>
    <w:rsid w:val="003E38C3"/>
    <w:rsid w:val="003E71D3"/>
    <w:rsid w:val="003F088A"/>
    <w:rsid w:val="003F6686"/>
    <w:rsid w:val="00400640"/>
    <w:rsid w:val="00400AEF"/>
    <w:rsid w:val="004011CD"/>
    <w:rsid w:val="00406F31"/>
    <w:rsid w:val="00407A03"/>
    <w:rsid w:val="004118A2"/>
    <w:rsid w:val="00412B48"/>
    <w:rsid w:val="00413DAE"/>
    <w:rsid w:val="00415B4E"/>
    <w:rsid w:val="00415CDD"/>
    <w:rsid w:val="0041731F"/>
    <w:rsid w:val="00423648"/>
    <w:rsid w:val="00430E21"/>
    <w:rsid w:val="00435A39"/>
    <w:rsid w:val="00436CD2"/>
    <w:rsid w:val="0044092A"/>
    <w:rsid w:val="00441086"/>
    <w:rsid w:val="00444976"/>
    <w:rsid w:val="00454462"/>
    <w:rsid w:val="00456199"/>
    <w:rsid w:val="00461AA8"/>
    <w:rsid w:val="0046710F"/>
    <w:rsid w:val="0047052D"/>
    <w:rsid w:val="00473A7A"/>
    <w:rsid w:val="00475B74"/>
    <w:rsid w:val="004761B2"/>
    <w:rsid w:val="00484CBC"/>
    <w:rsid w:val="00485FC2"/>
    <w:rsid w:val="004A1D32"/>
    <w:rsid w:val="004A5FE2"/>
    <w:rsid w:val="004B65B4"/>
    <w:rsid w:val="004B6AAA"/>
    <w:rsid w:val="004C1627"/>
    <w:rsid w:val="004C2445"/>
    <w:rsid w:val="004C3144"/>
    <w:rsid w:val="004D7793"/>
    <w:rsid w:val="004E1C09"/>
    <w:rsid w:val="004F5DB3"/>
    <w:rsid w:val="004F6327"/>
    <w:rsid w:val="005026CA"/>
    <w:rsid w:val="00505C43"/>
    <w:rsid w:val="00507F1F"/>
    <w:rsid w:val="00511E44"/>
    <w:rsid w:val="00512B0D"/>
    <w:rsid w:val="00513562"/>
    <w:rsid w:val="00516F9B"/>
    <w:rsid w:val="00523F34"/>
    <w:rsid w:val="00525F96"/>
    <w:rsid w:val="005342CC"/>
    <w:rsid w:val="005358E6"/>
    <w:rsid w:val="00544378"/>
    <w:rsid w:val="00545054"/>
    <w:rsid w:val="005452D4"/>
    <w:rsid w:val="005477FF"/>
    <w:rsid w:val="00552B9B"/>
    <w:rsid w:val="0055501E"/>
    <w:rsid w:val="0055570B"/>
    <w:rsid w:val="00565A36"/>
    <w:rsid w:val="005706EB"/>
    <w:rsid w:val="00573AE2"/>
    <w:rsid w:val="00573FB4"/>
    <w:rsid w:val="0058529C"/>
    <w:rsid w:val="00592978"/>
    <w:rsid w:val="00597940"/>
    <w:rsid w:val="005A08E0"/>
    <w:rsid w:val="005A1287"/>
    <w:rsid w:val="005A1357"/>
    <w:rsid w:val="005A548A"/>
    <w:rsid w:val="005B005C"/>
    <w:rsid w:val="005B5FB1"/>
    <w:rsid w:val="005B6FC9"/>
    <w:rsid w:val="005D4D2E"/>
    <w:rsid w:val="005D6888"/>
    <w:rsid w:val="005E1AA1"/>
    <w:rsid w:val="005E4B8B"/>
    <w:rsid w:val="005E4C00"/>
    <w:rsid w:val="005E74F6"/>
    <w:rsid w:val="005F0F79"/>
    <w:rsid w:val="005F2CF8"/>
    <w:rsid w:val="005F7AA8"/>
    <w:rsid w:val="0060208E"/>
    <w:rsid w:val="00605AFA"/>
    <w:rsid w:val="006177F8"/>
    <w:rsid w:val="00620D70"/>
    <w:rsid w:val="00625F6F"/>
    <w:rsid w:val="00626E8F"/>
    <w:rsid w:val="00637A08"/>
    <w:rsid w:val="006560EE"/>
    <w:rsid w:val="00665E45"/>
    <w:rsid w:val="00667E0D"/>
    <w:rsid w:val="00673D37"/>
    <w:rsid w:val="0067443D"/>
    <w:rsid w:val="00675EE3"/>
    <w:rsid w:val="00682121"/>
    <w:rsid w:val="00692408"/>
    <w:rsid w:val="006A0C4B"/>
    <w:rsid w:val="006A17C9"/>
    <w:rsid w:val="006A19B7"/>
    <w:rsid w:val="006A2C2B"/>
    <w:rsid w:val="006A41CE"/>
    <w:rsid w:val="006A4E72"/>
    <w:rsid w:val="006A5CC3"/>
    <w:rsid w:val="006A60F1"/>
    <w:rsid w:val="006A710C"/>
    <w:rsid w:val="006B3BC8"/>
    <w:rsid w:val="006B7DB5"/>
    <w:rsid w:val="006C1C52"/>
    <w:rsid w:val="006C4A4E"/>
    <w:rsid w:val="006C6E69"/>
    <w:rsid w:val="006D39E6"/>
    <w:rsid w:val="006E1D90"/>
    <w:rsid w:val="006E24C1"/>
    <w:rsid w:val="006F3FB2"/>
    <w:rsid w:val="007036A4"/>
    <w:rsid w:val="00712ECE"/>
    <w:rsid w:val="007214C9"/>
    <w:rsid w:val="007240BA"/>
    <w:rsid w:val="007325FE"/>
    <w:rsid w:val="0073380E"/>
    <w:rsid w:val="0074723B"/>
    <w:rsid w:val="0074777B"/>
    <w:rsid w:val="007503C2"/>
    <w:rsid w:val="00757D17"/>
    <w:rsid w:val="007611BC"/>
    <w:rsid w:val="00764A37"/>
    <w:rsid w:val="0076570B"/>
    <w:rsid w:val="00773AEC"/>
    <w:rsid w:val="00777287"/>
    <w:rsid w:val="0078772E"/>
    <w:rsid w:val="00793AE3"/>
    <w:rsid w:val="00795815"/>
    <w:rsid w:val="007960AD"/>
    <w:rsid w:val="007A1AA3"/>
    <w:rsid w:val="007A63F3"/>
    <w:rsid w:val="007C0BEA"/>
    <w:rsid w:val="007C18B4"/>
    <w:rsid w:val="007C466F"/>
    <w:rsid w:val="007D0699"/>
    <w:rsid w:val="007D6F27"/>
    <w:rsid w:val="007E72BF"/>
    <w:rsid w:val="007F02E5"/>
    <w:rsid w:val="008030BD"/>
    <w:rsid w:val="008068C6"/>
    <w:rsid w:val="00807108"/>
    <w:rsid w:val="008207C0"/>
    <w:rsid w:val="00837782"/>
    <w:rsid w:val="00837A77"/>
    <w:rsid w:val="00837A86"/>
    <w:rsid w:val="00843290"/>
    <w:rsid w:val="00843830"/>
    <w:rsid w:val="00843A65"/>
    <w:rsid w:val="008462B2"/>
    <w:rsid w:val="008509CD"/>
    <w:rsid w:val="0085451B"/>
    <w:rsid w:val="00857F2D"/>
    <w:rsid w:val="008658CB"/>
    <w:rsid w:val="00866A5E"/>
    <w:rsid w:val="00867D5D"/>
    <w:rsid w:val="00872458"/>
    <w:rsid w:val="008823B6"/>
    <w:rsid w:val="00882812"/>
    <w:rsid w:val="0089278F"/>
    <w:rsid w:val="0089671F"/>
    <w:rsid w:val="008A6903"/>
    <w:rsid w:val="008A6D86"/>
    <w:rsid w:val="008B024B"/>
    <w:rsid w:val="008B55EB"/>
    <w:rsid w:val="008B5F4F"/>
    <w:rsid w:val="008C7F67"/>
    <w:rsid w:val="008D3046"/>
    <w:rsid w:val="008D723F"/>
    <w:rsid w:val="008E036B"/>
    <w:rsid w:val="008E08E3"/>
    <w:rsid w:val="008E378F"/>
    <w:rsid w:val="008E7010"/>
    <w:rsid w:val="008F1241"/>
    <w:rsid w:val="008F50FB"/>
    <w:rsid w:val="008F72DA"/>
    <w:rsid w:val="009012F2"/>
    <w:rsid w:val="00906305"/>
    <w:rsid w:val="00907C91"/>
    <w:rsid w:val="0091014E"/>
    <w:rsid w:val="00922E23"/>
    <w:rsid w:val="00923CB1"/>
    <w:rsid w:val="00924FBD"/>
    <w:rsid w:val="009257F8"/>
    <w:rsid w:val="00926CBC"/>
    <w:rsid w:val="00927AE2"/>
    <w:rsid w:val="009326C3"/>
    <w:rsid w:val="009331DE"/>
    <w:rsid w:val="00945456"/>
    <w:rsid w:val="009457C0"/>
    <w:rsid w:val="009565A9"/>
    <w:rsid w:val="00956783"/>
    <w:rsid w:val="009609C7"/>
    <w:rsid w:val="00971EDD"/>
    <w:rsid w:val="00975CA9"/>
    <w:rsid w:val="00980A25"/>
    <w:rsid w:val="00982A82"/>
    <w:rsid w:val="00984FBA"/>
    <w:rsid w:val="009869B1"/>
    <w:rsid w:val="00987A6F"/>
    <w:rsid w:val="0099074F"/>
    <w:rsid w:val="00993EA7"/>
    <w:rsid w:val="009A5C39"/>
    <w:rsid w:val="009B2D0C"/>
    <w:rsid w:val="009B4443"/>
    <w:rsid w:val="009B5D89"/>
    <w:rsid w:val="009B680A"/>
    <w:rsid w:val="009C1482"/>
    <w:rsid w:val="009C7A95"/>
    <w:rsid w:val="009D31F4"/>
    <w:rsid w:val="009D3218"/>
    <w:rsid w:val="009D43E9"/>
    <w:rsid w:val="009D64AF"/>
    <w:rsid w:val="009E653D"/>
    <w:rsid w:val="009F1C1F"/>
    <w:rsid w:val="009F25A9"/>
    <w:rsid w:val="00A071B0"/>
    <w:rsid w:val="00A11C3E"/>
    <w:rsid w:val="00A13833"/>
    <w:rsid w:val="00A16775"/>
    <w:rsid w:val="00A17CF9"/>
    <w:rsid w:val="00A22326"/>
    <w:rsid w:val="00A2353A"/>
    <w:rsid w:val="00A27E1D"/>
    <w:rsid w:val="00A43C83"/>
    <w:rsid w:val="00A51A27"/>
    <w:rsid w:val="00A522BF"/>
    <w:rsid w:val="00A52E60"/>
    <w:rsid w:val="00A569B5"/>
    <w:rsid w:val="00A600E9"/>
    <w:rsid w:val="00A60673"/>
    <w:rsid w:val="00A611CF"/>
    <w:rsid w:val="00A61281"/>
    <w:rsid w:val="00A64EA3"/>
    <w:rsid w:val="00A66503"/>
    <w:rsid w:val="00A67F35"/>
    <w:rsid w:val="00A75B2E"/>
    <w:rsid w:val="00A75FCB"/>
    <w:rsid w:val="00A80ED8"/>
    <w:rsid w:val="00A8258F"/>
    <w:rsid w:val="00A82AE2"/>
    <w:rsid w:val="00A9578C"/>
    <w:rsid w:val="00AA608C"/>
    <w:rsid w:val="00AA613C"/>
    <w:rsid w:val="00AB04CD"/>
    <w:rsid w:val="00AB44F7"/>
    <w:rsid w:val="00AB6FCE"/>
    <w:rsid w:val="00AB7089"/>
    <w:rsid w:val="00AD4DBE"/>
    <w:rsid w:val="00AD584E"/>
    <w:rsid w:val="00AD6991"/>
    <w:rsid w:val="00AF67CD"/>
    <w:rsid w:val="00B05CF2"/>
    <w:rsid w:val="00B13772"/>
    <w:rsid w:val="00B17499"/>
    <w:rsid w:val="00B23214"/>
    <w:rsid w:val="00B25859"/>
    <w:rsid w:val="00B30EB6"/>
    <w:rsid w:val="00B32954"/>
    <w:rsid w:val="00B33A5F"/>
    <w:rsid w:val="00B347F1"/>
    <w:rsid w:val="00B35F53"/>
    <w:rsid w:val="00B6034D"/>
    <w:rsid w:val="00B702CF"/>
    <w:rsid w:val="00B72B18"/>
    <w:rsid w:val="00B73C71"/>
    <w:rsid w:val="00B73D6C"/>
    <w:rsid w:val="00B83E7A"/>
    <w:rsid w:val="00B83F16"/>
    <w:rsid w:val="00B851D0"/>
    <w:rsid w:val="00B86CF5"/>
    <w:rsid w:val="00B9043A"/>
    <w:rsid w:val="00BA13A5"/>
    <w:rsid w:val="00BA1A19"/>
    <w:rsid w:val="00BB0919"/>
    <w:rsid w:val="00BC3FE7"/>
    <w:rsid w:val="00BC517B"/>
    <w:rsid w:val="00BC6DAB"/>
    <w:rsid w:val="00BC718D"/>
    <w:rsid w:val="00BD092A"/>
    <w:rsid w:val="00BD1D1C"/>
    <w:rsid w:val="00BD451D"/>
    <w:rsid w:val="00BD491E"/>
    <w:rsid w:val="00BD7C04"/>
    <w:rsid w:val="00BE082F"/>
    <w:rsid w:val="00BE1915"/>
    <w:rsid w:val="00BE249E"/>
    <w:rsid w:val="00BE508C"/>
    <w:rsid w:val="00BE6065"/>
    <w:rsid w:val="00BF65E1"/>
    <w:rsid w:val="00C0371A"/>
    <w:rsid w:val="00C03B17"/>
    <w:rsid w:val="00C1138A"/>
    <w:rsid w:val="00C114E9"/>
    <w:rsid w:val="00C1289C"/>
    <w:rsid w:val="00C137A2"/>
    <w:rsid w:val="00C15038"/>
    <w:rsid w:val="00C17EDF"/>
    <w:rsid w:val="00C202D5"/>
    <w:rsid w:val="00C218CB"/>
    <w:rsid w:val="00C30715"/>
    <w:rsid w:val="00C30B57"/>
    <w:rsid w:val="00C30BA3"/>
    <w:rsid w:val="00C30D23"/>
    <w:rsid w:val="00C36333"/>
    <w:rsid w:val="00C50D17"/>
    <w:rsid w:val="00C51970"/>
    <w:rsid w:val="00C51DDC"/>
    <w:rsid w:val="00C71B0D"/>
    <w:rsid w:val="00C73BCB"/>
    <w:rsid w:val="00C946B2"/>
    <w:rsid w:val="00CA0982"/>
    <w:rsid w:val="00CA348D"/>
    <w:rsid w:val="00CA5121"/>
    <w:rsid w:val="00CA6510"/>
    <w:rsid w:val="00CA726B"/>
    <w:rsid w:val="00CB3D9D"/>
    <w:rsid w:val="00CC209B"/>
    <w:rsid w:val="00CC28AC"/>
    <w:rsid w:val="00CC4013"/>
    <w:rsid w:val="00CC7EF7"/>
    <w:rsid w:val="00CD0C4E"/>
    <w:rsid w:val="00CD0F12"/>
    <w:rsid w:val="00CE34C2"/>
    <w:rsid w:val="00D061BA"/>
    <w:rsid w:val="00D1347F"/>
    <w:rsid w:val="00D26BBD"/>
    <w:rsid w:val="00D32E27"/>
    <w:rsid w:val="00D33657"/>
    <w:rsid w:val="00D36356"/>
    <w:rsid w:val="00D52821"/>
    <w:rsid w:val="00D562E5"/>
    <w:rsid w:val="00D56819"/>
    <w:rsid w:val="00D73905"/>
    <w:rsid w:val="00D82072"/>
    <w:rsid w:val="00D834A4"/>
    <w:rsid w:val="00DA318B"/>
    <w:rsid w:val="00DA69E2"/>
    <w:rsid w:val="00DA7BCB"/>
    <w:rsid w:val="00DB0163"/>
    <w:rsid w:val="00DB020A"/>
    <w:rsid w:val="00DC1EF3"/>
    <w:rsid w:val="00DC2901"/>
    <w:rsid w:val="00DC34E8"/>
    <w:rsid w:val="00DD3D7A"/>
    <w:rsid w:val="00DD479E"/>
    <w:rsid w:val="00DD7521"/>
    <w:rsid w:val="00DE48C4"/>
    <w:rsid w:val="00DE5632"/>
    <w:rsid w:val="00DE5B4D"/>
    <w:rsid w:val="00DF7530"/>
    <w:rsid w:val="00E0092F"/>
    <w:rsid w:val="00E10BE7"/>
    <w:rsid w:val="00E12B55"/>
    <w:rsid w:val="00E17353"/>
    <w:rsid w:val="00E208E5"/>
    <w:rsid w:val="00E22F4C"/>
    <w:rsid w:val="00E22F9F"/>
    <w:rsid w:val="00E242A3"/>
    <w:rsid w:val="00E25809"/>
    <w:rsid w:val="00E41018"/>
    <w:rsid w:val="00E650CE"/>
    <w:rsid w:val="00E658C3"/>
    <w:rsid w:val="00E716D7"/>
    <w:rsid w:val="00E71A2F"/>
    <w:rsid w:val="00E72B79"/>
    <w:rsid w:val="00E730A8"/>
    <w:rsid w:val="00E7687E"/>
    <w:rsid w:val="00E8164D"/>
    <w:rsid w:val="00E821D7"/>
    <w:rsid w:val="00E8523B"/>
    <w:rsid w:val="00E85247"/>
    <w:rsid w:val="00E87E6D"/>
    <w:rsid w:val="00E90FE8"/>
    <w:rsid w:val="00E92B8E"/>
    <w:rsid w:val="00E9420D"/>
    <w:rsid w:val="00E9637A"/>
    <w:rsid w:val="00EA46B8"/>
    <w:rsid w:val="00EA4B81"/>
    <w:rsid w:val="00EB58EF"/>
    <w:rsid w:val="00EB7BFB"/>
    <w:rsid w:val="00EC0573"/>
    <w:rsid w:val="00EC3956"/>
    <w:rsid w:val="00EC5CB4"/>
    <w:rsid w:val="00ED1831"/>
    <w:rsid w:val="00ED2B9F"/>
    <w:rsid w:val="00EE1709"/>
    <w:rsid w:val="00EE5048"/>
    <w:rsid w:val="00EF1F29"/>
    <w:rsid w:val="00EF5F35"/>
    <w:rsid w:val="00F02218"/>
    <w:rsid w:val="00F02F43"/>
    <w:rsid w:val="00F06CA3"/>
    <w:rsid w:val="00F07BD4"/>
    <w:rsid w:val="00F24059"/>
    <w:rsid w:val="00F25286"/>
    <w:rsid w:val="00F26B25"/>
    <w:rsid w:val="00F27C5B"/>
    <w:rsid w:val="00F33780"/>
    <w:rsid w:val="00F368C4"/>
    <w:rsid w:val="00F52D44"/>
    <w:rsid w:val="00F5366D"/>
    <w:rsid w:val="00F55D85"/>
    <w:rsid w:val="00F56D6B"/>
    <w:rsid w:val="00F722AB"/>
    <w:rsid w:val="00F75345"/>
    <w:rsid w:val="00F81E18"/>
    <w:rsid w:val="00F9375D"/>
    <w:rsid w:val="00FA3A94"/>
    <w:rsid w:val="00FA52BB"/>
    <w:rsid w:val="00FA6023"/>
    <w:rsid w:val="00FA72BB"/>
    <w:rsid w:val="00FB54E3"/>
    <w:rsid w:val="00FC2534"/>
    <w:rsid w:val="00FC7367"/>
    <w:rsid w:val="00FD2E0D"/>
    <w:rsid w:val="00FD7A2E"/>
    <w:rsid w:val="00FE310B"/>
    <w:rsid w:val="00FE4DFC"/>
    <w:rsid w:val="00FF29F3"/>
    <w:rsid w:val="00FF2D70"/>
    <w:rsid w:val="00FF2FE7"/>
    <w:rsid w:val="00FF4BB5"/>
    <w:rsid w:val="00FF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CE70F"/>
  <w15:chartTrackingRefBased/>
  <w15:docId w15:val="{189B9729-6D9E-47A6-92B5-CAA24527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B9B"/>
    <w:rPr>
      <w:sz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customStyle="1" w:styleId="para3">
    <w:name w:val="para3"/>
    <w:basedOn w:val="Normal"/>
    <w:pPr>
      <w:ind w:left="1296"/>
    </w:pPr>
    <w:rPr>
      <w:rFonts w:ascii="Helvetica" w:hAnsi="Helvetica"/>
      <w:sz w:val="20"/>
    </w:rPr>
  </w:style>
  <w:style w:type="paragraph" w:styleId="TOC1">
    <w:name w:val="toc 1"/>
    <w:basedOn w:val="Normal"/>
    <w:next w:val="Normal"/>
    <w:semiHidden/>
    <w:pPr>
      <w:tabs>
        <w:tab w:val="right" w:leader="dot" w:pos="9360"/>
      </w:tabs>
    </w:pPr>
  </w:style>
  <w:style w:type="paragraph" w:styleId="TOC2">
    <w:name w:val="toc 2"/>
    <w:basedOn w:val="Normal"/>
    <w:next w:val="Normal"/>
    <w:semiHidden/>
    <w:pPr>
      <w:tabs>
        <w:tab w:val="right" w:leader="dot" w:pos="9360"/>
        <w:tab w:val="right" w:pos="10080"/>
      </w:tabs>
      <w:ind w:left="240"/>
    </w:pPr>
  </w:style>
  <w:style w:type="paragraph" w:customStyle="1" w:styleId="para1">
    <w:name w:val="para1"/>
    <w:basedOn w:val="Normal"/>
    <w:pPr>
      <w:ind w:left="432"/>
    </w:pPr>
    <w:rPr>
      <w:rFonts w:ascii="Helvetica" w:hAnsi="Helvetica"/>
      <w:sz w:val="20"/>
    </w:rPr>
  </w:style>
  <w:style w:type="paragraph" w:styleId="Caption">
    <w:name w:val="caption"/>
    <w:basedOn w:val="Normal"/>
    <w:next w:val="Normal"/>
    <w:qFormat/>
    <w:pPr>
      <w:spacing w:before="120" w:after="120"/>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TOC3">
    <w:name w:val="toc 3"/>
    <w:basedOn w:val="Normal"/>
    <w:next w:val="Normal"/>
    <w:autoRedefine/>
    <w:semiHidden/>
    <w:rsid w:val="0027104C"/>
    <w:pPr>
      <w:tabs>
        <w:tab w:val="right" w:leader="dot" w:pos="9360"/>
      </w:tabs>
      <w:ind w:left="475"/>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rPr>
      <w:i/>
    </w:rPr>
  </w:style>
  <w:style w:type="character" w:styleId="FollowedHyperlink">
    <w:name w:val="FollowedHyperlink"/>
    <w:rPr>
      <w:color w:val="800080"/>
      <w:u w:val="single"/>
    </w:rPr>
  </w:style>
  <w:style w:type="paragraph" w:styleId="BodyText2">
    <w:name w:val="Body Text 2"/>
    <w:basedOn w:val="Normal"/>
    <w:pPr>
      <w:numPr>
        <w:ilvl w:val="12"/>
      </w:numPr>
      <w:pBdr>
        <w:left w:val="single" w:sz="18" w:space="4" w:color="auto"/>
      </w:pBdr>
    </w:pPr>
    <w:rPr>
      <w:i/>
    </w:rPr>
  </w:style>
  <w:style w:type="paragraph" w:styleId="BalloonText">
    <w:name w:val="Balloon Text"/>
    <w:basedOn w:val="Normal"/>
    <w:semiHidden/>
    <w:rPr>
      <w:rFonts w:ascii="Tahoma" w:hAnsi="Tahoma" w:cs="Tahoma"/>
      <w:sz w:val="16"/>
      <w:szCs w:val="16"/>
    </w:rPr>
  </w:style>
  <w:style w:type="character" w:customStyle="1" w:styleId="Heading4Char">
    <w:name w:val="Heading 4 Char"/>
    <w:aliases w:val="Map Title Char"/>
    <w:rPr>
      <w:rFonts w:ascii="Arial" w:hAnsi="Arial"/>
      <w:b/>
      <w:sz w:val="3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pbody">
    <w:name w:val="pbody"/>
    <w:basedOn w:val="Normal"/>
    <w:pPr>
      <w:ind w:firstLine="240"/>
    </w:pPr>
    <w:rPr>
      <w:rFonts w:ascii="Arial" w:eastAsia="Arial Unicode MS" w:hAnsi="Arial" w:cs="Arial"/>
      <w:color w:val="000000"/>
      <w:sz w:val="20"/>
    </w:rPr>
  </w:style>
  <w:style w:type="paragraph" w:styleId="BodyTextIndent">
    <w:name w:val="Body Text Indent"/>
    <w:basedOn w:val="Normal"/>
    <w:pPr>
      <w:autoSpaceDE w:val="0"/>
      <w:autoSpaceDN w:val="0"/>
      <w:adjustRightInd w:val="0"/>
      <w:ind w:left="1800"/>
    </w:pPr>
    <w:rPr>
      <w:szCs w:val="24"/>
    </w:rPr>
  </w:style>
  <w:style w:type="table" w:styleId="TableGrid">
    <w:name w:val="Table Grid"/>
    <w:basedOn w:val="TableNormal"/>
    <w:rsid w:val="00187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BlockLine"/>
    <w:rsid w:val="00485FC2"/>
    <w:pPr>
      <w:numPr>
        <w:ilvl w:val="12"/>
      </w:numPr>
      <w:ind w:left="1700"/>
    </w:pPr>
    <w:rPr>
      <w:rFonts w:ascii="Arial" w:hAnsi="Arial" w:cs="Arial"/>
      <w:b/>
      <w:sz w:val="32"/>
      <w:szCs w:val="32"/>
    </w:rPr>
  </w:style>
  <w:style w:type="paragraph" w:customStyle="1" w:styleId="level2">
    <w:name w:val="level2"/>
    <w:basedOn w:val="Heading5"/>
    <w:rsid w:val="00485FC2"/>
  </w:style>
  <w:style w:type="paragraph" w:customStyle="1" w:styleId="Default">
    <w:name w:val="Default"/>
    <w:rsid w:val="002E0EED"/>
    <w:pPr>
      <w:autoSpaceDE w:val="0"/>
      <w:autoSpaceDN w:val="0"/>
      <w:adjustRightInd w:val="0"/>
    </w:pPr>
    <w:rPr>
      <w:color w:val="000000"/>
      <w:sz w:val="24"/>
      <w:szCs w:val="24"/>
    </w:rPr>
  </w:style>
  <w:style w:type="paragraph" w:styleId="CommentSubject">
    <w:name w:val="annotation subject"/>
    <w:basedOn w:val="CommentText"/>
    <w:next w:val="CommentText"/>
    <w:semiHidden/>
    <w:rsid w:val="00CC4013"/>
    <w:rPr>
      <w:b/>
      <w:bCs/>
    </w:rPr>
  </w:style>
  <w:style w:type="paragraph" w:styleId="ListParagraph">
    <w:name w:val="List Paragraph"/>
    <w:basedOn w:val="Normal"/>
    <w:uiPriority w:val="34"/>
    <w:qFormat/>
    <w:rsid w:val="0074777B"/>
    <w:pPr>
      <w:ind w:left="720"/>
    </w:pPr>
  </w:style>
  <w:style w:type="character" w:customStyle="1" w:styleId="m1580584994169903012gmail-m-4158831995909212114gmail-m-8192376468059362412gmail-il">
    <w:name w:val="m_1580584994169903012gmail-m_-4158831995909212114gmail-m_-8192376468059362412gmail-il"/>
    <w:basedOn w:val="DefaultParagraphFont"/>
    <w:rsid w:val="006560EE"/>
  </w:style>
  <w:style w:type="character" w:styleId="UnresolvedMention">
    <w:name w:val="Unresolved Mention"/>
    <w:basedOn w:val="DefaultParagraphFont"/>
    <w:uiPriority w:val="99"/>
    <w:semiHidden/>
    <w:unhideWhenUsed/>
    <w:rsid w:val="008E3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936">
      <w:bodyDiv w:val="1"/>
      <w:marLeft w:val="0"/>
      <w:marRight w:val="0"/>
      <w:marTop w:val="0"/>
      <w:marBottom w:val="0"/>
      <w:divBdr>
        <w:top w:val="none" w:sz="0" w:space="0" w:color="auto"/>
        <w:left w:val="none" w:sz="0" w:space="0" w:color="auto"/>
        <w:bottom w:val="none" w:sz="0" w:space="0" w:color="auto"/>
        <w:right w:val="none" w:sz="0" w:space="0" w:color="auto"/>
      </w:divBdr>
    </w:div>
    <w:div w:id="835878072">
      <w:bodyDiv w:val="1"/>
      <w:marLeft w:val="0"/>
      <w:marRight w:val="0"/>
      <w:marTop w:val="0"/>
      <w:marBottom w:val="0"/>
      <w:divBdr>
        <w:top w:val="none" w:sz="0" w:space="0" w:color="auto"/>
        <w:left w:val="none" w:sz="0" w:space="0" w:color="auto"/>
        <w:bottom w:val="none" w:sz="0" w:space="0" w:color="auto"/>
        <w:right w:val="none" w:sz="0" w:space="0" w:color="auto"/>
      </w:divBdr>
    </w:div>
    <w:div w:id="1232472656">
      <w:bodyDiv w:val="1"/>
      <w:marLeft w:val="0"/>
      <w:marRight w:val="0"/>
      <w:marTop w:val="0"/>
      <w:marBottom w:val="0"/>
      <w:divBdr>
        <w:top w:val="none" w:sz="0" w:space="0" w:color="auto"/>
        <w:left w:val="none" w:sz="0" w:space="0" w:color="auto"/>
        <w:bottom w:val="none" w:sz="0" w:space="0" w:color="auto"/>
        <w:right w:val="none" w:sz="0" w:space="0" w:color="auto"/>
      </w:divBdr>
    </w:div>
    <w:div w:id="1452212488">
      <w:bodyDiv w:val="1"/>
      <w:marLeft w:val="0"/>
      <w:marRight w:val="0"/>
      <w:marTop w:val="0"/>
      <w:marBottom w:val="0"/>
      <w:divBdr>
        <w:top w:val="none" w:sz="0" w:space="0" w:color="auto"/>
        <w:left w:val="none" w:sz="0" w:space="0" w:color="auto"/>
        <w:bottom w:val="none" w:sz="0" w:space="0" w:color="auto"/>
        <w:right w:val="none" w:sz="0" w:space="0" w:color="auto"/>
      </w:divBdr>
      <w:divsChild>
        <w:div w:id="1291282088">
          <w:marLeft w:val="0"/>
          <w:marRight w:val="0"/>
          <w:marTop w:val="0"/>
          <w:marBottom w:val="0"/>
          <w:divBdr>
            <w:top w:val="none" w:sz="0" w:space="0" w:color="auto"/>
            <w:left w:val="none" w:sz="0" w:space="0" w:color="auto"/>
            <w:bottom w:val="none" w:sz="0" w:space="0" w:color="auto"/>
            <w:right w:val="none" w:sz="0" w:space="0" w:color="auto"/>
          </w:divBdr>
        </w:div>
        <w:div w:id="1527713850">
          <w:marLeft w:val="0"/>
          <w:marRight w:val="0"/>
          <w:marTop w:val="0"/>
          <w:marBottom w:val="0"/>
          <w:divBdr>
            <w:top w:val="none" w:sz="0" w:space="0" w:color="auto"/>
            <w:left w:val="none" w:sz="0" w:space="0" w:color="auto"/>
            <w:bottom w:val="none" w:sz="0" w:space="0" w:color="auto"/>
            <w:right w:val="none" w:sz="0" w:space="0" w:color="auto"/>
          </w:divBdr>
        </w:div>
        <w:div w:id="199901464">
          <w:marLeft w:val="0"/>
          <w:marRight w:val="0"/>
          <w:marTop w:val="0"/>
          <w:marBottom w:val="0"/>
          <w:divBdr>
            <w:top w:val="none" w:sz="0" w:space="0" w:color="auto"/>
            <w:left w:val="none" w:sz="0" w:space="0" w:color="auto"/>
            <w:bottom w:val="none" w:sz="0" w:space="0" w:color="auto"/>
            <w:right w:val="none" w:sz="0" w:space="0" w:color="auto"/>
          </w:divBdr>
        </w:div>
      </w:divsChild>
    </w:div>
    <w:div w:id="1625237696">
      <w:bodyDiv w:val="1"/>
      <w:marLeft w:val="0"/>
      <w:marRight w:val="0"/>
      <w:marTop w:val="0"/>
      <w:marBottom w:val="0"/>
      <w:divBdr>
        <w:top w:val="none" w:sz="0" w:space="0" w:color="auto"/>
        <w:left w:val="none" w:sz="0" w:space="0" w:color="auto"/>
        <w:bottom w:val="none" w:sz="0" w:space="0" w:color="auto"/>
        <w:right w:val="none" w:sz="0" w:space="0" w:color="auto"/>
      </w:divBdr>
    </w:div>
    <w:div w:id="1930579261">
      <w:bodyDiv w:val="1"/>
      <w:marLeft w:val="0"/>
      <w:marRight w:val="0"/>
      <w:marTop w:val="0"/>
      <w:marBottom w:val="0"/>
      <w:divBdr>
        <w:top w:val="none" w:sz="0" w:space="0" w:color="auto"/>
        <w:left w:val="none" w:sz="0" w:space="0" w:color="auto"/>
        <w:bottom w:val="none" w:sz="0" w:space="0" w:color="auto"/>
        <w:right w:val="none" w:sz="0" w:space="0" w:color="auto"/>
      </w:divBdr>
      <w:divsChild>
        <w:div w:id="2081563703">
          <w:marLeft w:val="0"/>
          <w:marRight w:val="0"/>
          <w:marTop w:val="0"/>
          <w:marBottom w:val="0"/>
          <w:divBdr>
            <w:top w:val="none" w:sz="0" w:space="0" w:color="auto"/>
            <w:left w:val="none" w:sz="0" w:space="0" w:color="auto"/>
            <w:bottom w:val="none" w:sz="0" w:space="0" w:color="auto"/>
            <w:right w:val="none" w:sz="0" w:space="0" w:color="auto"/>
          </w:divBdr>
          <w:divsChild>
            <w:div w:id="1919363011">
              <w:marLeft w:val="0"/>
              <w:marRight w:val="0"/>
              <w:marTop w:val="0"/>
              <w:marBottom w:val="0"/>
              <w:divBdr>
                <w:top w:val="none" w:sz="0" w:space="0" w:color="auto"/>
                <w:left w:val="none" w:sz="0" w:space="0" w:color="auto"/>
                <w:bottom w:val="none" w:sz="0" w:space="0" w:color="auto"/>
                <w:right w:val="none" w:sz="0" w:space="0" w:color="auto"/>
              </w:divBdr>
            </w:div>
          </w:divsChild>
        </w:div>
        <w:div w:id="1778018568">
          <w:marLeft w:val="0"/>
          <w:marRight w:val="0"/>
          <w:marTop w:val="0"/>
          <w:marBottom w:val="0"/>
          <w:divBdr>
            <w:top w:val="none" w:sz="0" w:space="0" w:color="auto"/>
            <w:left w:val="none" w:sz="0" w:space="0" w:color="auto"/>
            <w:bottom w:val="none" w:sz="0" w:space="0" w:color="auto"/>
            <w:right w:val="none" w:sz="0" w:space="0" w:color="auto"/>
          </w:divBdr>
          <w:divsChild>
            <w:div w:id="1941179463">
              <w:marLeft w:val="0"/>
              <w:marRight w:val="0"/>
              <w:marTop w:val="0"/>
              <w:marBottom w:val="0"/>
              <w:divBdr>
                <w:top w:val="none" w:sz="0" w:space="0" w:color="auto"/>
                <w:left w:val="none" w:sz="0" w:space="0" w:color="auto"/>
                <w:bottom w:val="none" w:sz="0" w:space="0" w:color="auto"/>
                <w:right w:val="none" w:sz="0" w:space="0" w:color="auto"/>
              </w:divBdr>
            </w:div>
            <w:div w:id="3961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roller.vcu.edu/training/fiscal-handbook/university-financial-structure/" TargetMode="External"/><Relationship Id="rId13" Type="http://schemas.openxmlformats.org/officeDocument/2006/relationships/hyperlink" Target="https://www.gsa.gov/travel/plan-book/per-diem-rat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ravel@vcu.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tax-professionals/standard-mileage-rates" TargetMode="External"/><Relationship Id="rId5" Type="http://schemas.openxmlformats.org/officeDocument/2006/relationships/webSettings" Target="webSettings.xml"/><Relationship Id="rId15" Type="http://schemas.openxmlformats.org/officeDocument/2006/relationships/hyperlink" Target="https://www.irs.gov/forms-pubs/about-publication-463" TargetMode="External"/><Relationship Id="rId23" Type="http://schemas.openxmlformats.org/officeDocument/2006/relationships/theme" Target="theme/theme1.xml"/><Relationship Id="rId10" Type="http://schemas.openxmlformats.org/officeDocument/2006/relationships/hyperlink" Target="https://marcom.vcu.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vcu.public.doctract.com/doctract/documentportal/08DA32A740D331FCBD64847B353E24EA" TargetMode="External"/><Relationship Id="rId14" Type="http://schemas.openxmlformats.org/officeDocument/2006/relationships/hyperlink" Target="https://www.gsa.gov/travel/plan-book/per-diem-rat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8C76D-1BA8-4CC4-863C-F296E71F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Template>
  <TotalTime>203</TotalTime>
  <Pages>9</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VCU TRAVEL GUIDELINES &amp; PROCEDURES</vt:lpstr>
    </vt:vector>
  </TitlesOfParts>
  <Company>DOA</Company>
  <LinksUpToDate>false</LinksUpToDate>
  <CharactersWithSpaces>20756</CharactersWithSpaces>
  <SharedDoc>false</SharedDoc>
  <HyperlinkBase>https://procurement.vcu.edu</HyperlinkBase>
  <HLinks>
    <vt:vector size="30" baseType="variant">
      <vt:variant>
        <vt:i4>3080290</vt:i4>
      </vt:variant>
      <vt:variant>
        <vt:i4>12</vt:i4>
      </vt:variant>
      <vt:variant>
        <vt:i4>0</vt:i4>
      </vt:variant>
      <vt:variant>
        <vt:i4>5</vt:i4>
      </vt:variant>
      <vt:variant>
        <vt:lpwstr>https://www.gsa.gov/travel/plan-book/per-diem-rates</vt:lpwstr>
      </vt:variant>
      <vt:variant>
        <vt:lpwstr/>
      </vt:variant>
      <vt:variant>
        <vt:i4>3080290</vt:i4>
      </vt:variant>
      <vt:variant>
        <vt:i4>9</vt:i4>
      </vt:variant>
      <vt:variant>
        <vt:i4>0</vt:i4>
      </vt:variant>
      <vt:variant>
        <vt:i4>5</vt:i4>
      </vt:variant>
      <vt:variant>
        <vt:lpwstr>https://www.gsa.gov/travel/plan-book/per-diem-rates</vt:lpwstr>
      </vt:variant>
      <vt:variant>
        <vt:lpwstr/>
      </vt:variant>
      <vt:variant>
        <vt:i4>8060996</vt:i4>
      </vt:variant>
      <vt:variant>
        <vt:i4>6</vt:i4>
      </vt:variant>
      <vt:variant>
        <vt:i4>0</vt:i4>
      </vt:variant>
      <vt:variant>
        <vt:i4>5</vt:i4>
      </vt:variant>
      <vt:variant>
        <vt:lpwstr>mailto:travel@vcu.edu</vt:lpwstr>
      </vt:variant>
      <vt:variant>
        <vt:lpwstr/>
      </vt:variant>
      <vt:variant>
        <vt:i4>6946912</vt:i4>
      </vt:variant>
      <vt:variant>
        <vt:i4>3</vt:i4>
      </vt:variant>
      <vt:variant>
        <vt:i4>0</vt:i4>
      </vt:variant>
      <vt:variant>
        <vt:i4>5</vt:i4>
      </vt:variant>
      <vt:variant>
        <vt:lpwstr>http://www.irs.gov/taxpros/article/0,,id=156624,00.html</vt:lpwstr>
      </vt:variant>
      <vt:variant>
        <vt:lpwstr/>
      </vt:variant>
      <vt:variant>
        <vt:i4>2031691</vt:i4>
      </vt:variant>
      <vt:variant>
        <vt:i4>0</vt:i4>
      </vt:variant>
      <vt:variant>
        <vt:i4>0</vt:i4>
      </vt:variant>
      <vt:variant>
        <vt:i4>5</vt:i4>
      </vt:variant>
      <vt:variant>
        <vt:lpwstr>http://www.identity.vcu.edu/requests/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VCU TRAVEL GUIDELINES &amp; PROCEDURES</dc:title>
  <dc:subject>guidelines</dc:subject>
  <dc:creator>verna left</dc:creator>
  <cp:keywords>travel</cp:keywords>
  <cp:lastModifiedBy>Modestine Carter</cp:lastModifiedBy>
  <cp:revision>8</cp:revision>
  <cp:lastPrinted>2019-04-30T14:09:00Z</cp:lastPrinted>
  <dcterms:created xsi:type="dcterms:W3CDTF">2023-09-13T16:05:00Z</dcterms:created>
  <dcterms:modified xsi:type="dcterms:W3CDTF">2023-09-14T15:03:00Z</dcterms:modified>
  <cp:category>information</cp:category>
  <cp:contentStatus>live_document</cp:contentStatus>
</cp:coreProperties>
</file>